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4ACBE" w14:textId="388F6BB3" w:rsidR="00DD3EE0" w:rsidRDefault="00303A41" w:rsidP="00303A41">
      <w:pPr>
        <w:rPr>
          <w:b/>
          <w:bCs/>
          <w:sz w:val="36"/>
          <w:szCs w:val="36"/>
          <w:u w:val="single"/>
        </w:rPr>
      </w:pPr>
      <w:r>
        <w:rPr>
          <w:b/>
          <w:bCs/>
          <w:sz w:val="36"/>
          <w:szCs w:val="36"/>
          <w:u w:val="single"/>
        </w:rPr>
        <w:t xml:space="preserve">Emojis can make us as happy as talking </w:t>
      </w:r>
      <w:proofErr w:type="spellStart"/>
      <w:r>
        <w:rPr>
          <w:b/>
          <w:bCs/>
          <w:sz w:val="36"/>
          <w:szCs w:val="36"/>
          <w:u w:val="single"/>
        </w:rPr>
        <w:t>fave</w:t>
      </w:r>
      <w:proofErr w:type="spellEnd"/>
      <w:r>
        <w:rPr>
          <w:b/>
          <w:bCs/>
          <w:sz w:val="36"/>
          <w:szCs w:val="36"/>
          <w:u w:val="single"/>
        </w:rPr>
        <w:t xml:space="preserve"> to face. What’s not to …?</w:t>
      </w:r>
    </w:p>
    <w:p w14:paraId="71237862" w14:textId="78CE36F1" w:rsidR="00303A41" w:rsidRDefault="00303A41" w:rsidP="00303A41">
      <w:pPr>
        <w:rPr>
          <w:b/>
          <w:bCs/>
          <w:sz w:val="36"/>
          <w:szCs w:val="36"/>
          <w:u w:val="single"/>
        </w:rPr>
      </w:pPr>
    </w:p>
    <w:p w14:paraId="1A1EB8C2" w14:textId="27A2B209" w:rsidR="00303A41" w:rsidRDefault="00303A41" w:rsidP="00303A41">
      <w:pPr>
        <w:rPr>
          <w:b/>
          <w:bCs/>
          <w:sz w:val="36"/>
          <w:szCs w:val="36"/>
          <w:u w:val="single"/>
        </w:rPr>
      </w:pPr>
    </w:p>
    <w:p w14:paraId="2794C8A8" w14:textId="2C514FCB" w:rsidR="00303A41" w:rsidRDefault="00303A41" w:rsidP="00303A41">
      <w:pPr>
        <w:pStyle w:val="ListParagraph"/>
        <w:numPr>
          <w:ilvl w:val="0"/>
          <w:numId w:val="1"/>
        </w:numPr>
      </w:pPr>
      <w:r>
        <w:t xml:space="preserve">The writer makes two clear contentions in the first paragraphs, one being that “emojis are… very good” and the other one being that “iconography… is increasingly crucial to clear communication online”. </w:t>
      </w:r>
    </w:p>
    <w:p w14:paraId="466EE3E8" w14:textId="0C9D23FC" w:rsidR="00303A41" w:rsidRPr="007D7E7D" w:rsidRDefault="00303A41" w:rsidP="00303A41">
      <w:pPr>
        <w:pStyle w:val="ListParagraph"/>
        <w:numPr>
          <w:ilvl w:val="0"/>
          <w:numId w:val="1"/>
        </w:numPr>
        <w:rPr>
          <w:b/>
          <w:bCs/>
        </w:rPr>
      </w:pPr>
      <w:r w:rsidRPr="007D7E7D">
        <w:rPr>
          <w:b/>
          <w:bCs/>
        </w:rPr>
        <w:t xml:space="preserve">Number the sentences below to match the order the ideas appear in the article. </w:t>
      </w:r>
    </w:p>
    <w:tbl>
      <w:tblPr>
        <w:tblStyle w:val="TableGrid"/>
        <w:tblW w:w="0" w:type="auto"/>
        <w:tblInd w:w="720" w:type="dxa"/>
        <w:tblLook w:val="04A0" w:firstRow="1" w:lastRow="0" w:firstColumn="1" w:lastColumn="0" w:noHBand="0" w:noVBand="1"/>
      </w:tblPr>
      <w:tblGrid>
        <w:gridCol w:w="4161"/>
        <w:gridCol w:w="4129"/>
      </w:tblGrid>
      <w:tr w:rsidR="00303A41" w14:paraId="7ABA1C28" w14:textId="77777777" w:rsidTr="00303A41">
        <w:tc>
          <w:tcPr>
            <w:tcW w:w="4161" w:type="dxa"/>
          </w:tcPr>
          <w:p w14:paraId="2EB9FB11" w14:textId="1021A7E8" w:rsidR="00303A41" w:rsidRDefault="00303A41" w:rsidP="00303A41">
            <w:pPr>
              <w:pStyle w:val="ListParagraph"/>
              <w:ind w:left="0"/>
            </w:pPr>
            <w:r>
              <w:t xml:space="preserve">The problem of “corporate capture” </w:t>
            </w:r>
          </w:p>
        </w:tc>
        <w:tc>
          <w:tcPr>
            <w:tcW w:w="4129" w:type="dxa"/>
          </w:tcPr>
          <w:p w14:paraId="2FE18BBA" w14:textId="26996367" w:rsidR="00303A41" w:rsidRDefault="007D7E7D" w:rsidP="007D7E7D">
            <w:pPr>
              <w:pStyle w:val="ListParagraph"/>
              <w:ind w:left="0"/>
              <w:jc w:val="center"/>
            </w:pPr>
            <w:r>
              <w:t>5</w:t>
            </w:r>
          </w:p>
        </w:tc>
      </w:tr>
      <w:tr w:rsidR="00303A41" w14:paraId="470E2114" w14:textId="77777777" w:rsidTr="00303A41">
        <w:tc>
          <w:tcPr>
            <w:tcW w:w="4161" w:type="dxa"/>
          </w:tcPr>
          <w:p w14:paraId="50D73692" w14:textId="6DFE04F6" w:rsidR="00303A41" w:rsidRDefault="00303A41" w:rsidP="00303A41">
            <w:pPr>
              <w:pStyle w:val="ListParagraph"/>
              <w:ind w:left="0"/>
            </w:pPr>
            <w:r>
              <w:t xml:space="preserve">We react in similar ways when we see a happy face on a screen or face to face. </w:t>
            </w:r>
          </w:p>
        </w:tc>
        <w:tc>
          <w:tcPr>
            <w:tcW w:w="4129" w:type="dxa"/>
          </w:tcPr>
          <w:p w14:paraId="6B556B9C" w14:textId="42D57E42" w:rsidR="00303A41" w:rsidRDefault="007D7E7D" w:rsidP="007D7E7D">
            <w:pPr>
              <w:pStyle w:val="ListParagraph"/>
              <w:ind w:left="0"/>
              <w:jc w:val="center"/>
            </w:pPr>
            <w:r>
              <w:t>2</w:t>
            </w:r>
          </w:p>
        </w:tc>
      </w:tr>
      <w:tr w:rsidR="00303A41" w14:paraId="3576B7A4" w14:textId="77777777" w:rsidTr="00303A41">
        <w:tc>
          <w:tcPr>
            <w:tcW w:w="4161" w:type="dxa"/>
          </w:tcPr>
          <w:p w14:paraId="0417DB34" w14:textId="0CFBE836" w:rsidR="00303A41" w:rsidRDefault="00303A41" w:rsidP="00303A41">
            <w:pPr>
              <w:pStyle w:val="ListParagraph"/>
              <w:ind w:left="0"/>
            </w:pPr>
            <w:r>
              <w:t xml:space="preserve">Communication with emojis can be ambiguous. </w:t>
            </w:r>
          </w:p>
        </w:tc>
        <w:tc>
          <w:tcPr>
            <w:tcW w:w="4129" w:type="dxa"/>
          </w:tcPr>
          <w:p w14:paraId="224112B0" w14:textId="1359913B" w:rsidR="00303A41" w:rsidRDefault="007D7E7D" w:rsidP="007D7E7D">
            <w:pPr>
              <w:pStyle w:val="ListParagraph"/>
              <w:ind w:left="0"/>
              <w:jc w:val="center"/>
            </w:pPr>
            <w:r>
              <w:t>3</w:t>
            </w:r>
          </w:p>
        </w:tc>
      </w:tr>
      <w:tr w:rsidR="00303A41" w14:paraId="452CC5A4" w14:textId="77777777" w:rsidTr="00303A41">
        <w:tc>
          <w:tcPr>
            <w:tcW w:w="4161" w:type="dxa"/>
          </w:tcPr>
          <w:p w14:paraId="266FCFEB" w14:textId="656630EE" w:rsidR="00303A41" w:rsidRDefault="00303A41" w:rsidP="00303A41">
            <w:pPr>
              <w:pStyle w:val="ListParagraph"/>
              <w:ind w:left="0"/>
            </w:pPr>
            <w:r>
              <w:t>They help convey tone, including sarcasm</w:t>
            </w:r>
            <w:r w:rsidR="007D7E7D">
              <w:t>.</w:t>
            </w:r>
          </w:p>
        </w:tc>
        <w:tc>
          <w:tcPr>
            <w:tcW w:w="4129" w:type="dxa"/>
          </w:tcPr>
          <w:p w14:paraId="2A882CD6" w14:textId="0B2FC642" w:rsidR="00303A41" w:rsidRDefault="007D7E7D" w:rsidP="007D7E7D">
            <w:pPr>
              <w:pStyle w:val="ListParagraph"/>
              <w:ind w:left="0"/>
              <w:jc w:val="center"/>
            </w:pPr>
            <w:r>
              <w:t>1</w:t>
            </w:r>
          </w:p>
        </w:tc>
      </w:tr>
      <w:tr w:rsidR="00303A41" w14:paraId="4ABF3DA8" w14:textId="77777777" w:rsidTr="00303A41">
        <w:tc>
          <w:tcPr>
            <w:tcW w:w="4161" w:type="dxa"/>
          </w:tcPr>
          <w:p w14:paraId="61A6EB62" w14:textId="5F2BB517" w:rsidR="00303A41" w:rsidRDefault="007D7E7D" w:rsidP="00303A41">
            <w:pPr>
              <w:pStyle w:val="ListParagraph"/>
              <w:ind w:left="0"/>
            </w:pPr>
            <w:r>
              <w:t xml:space="preserve">Problems are created because the same emojis is drawn differently for different platforms. </w:t>
            </w:r>
          </w:p>
        </w:tc>
        <w:tc>
          <w:tcPr>
            <w:tcW w:w="4129" w:type="dxa"/>
          </w:tcPr>
          <w:p w14:paraId="5BA10164" w14:textId="6E254372" w:rsidR="00303A41" w:rsidRDefault="007D7E7D" w:rsidP="007D7E7D">
            <w:pPr>
              <w:pStyle w:val="ListParagraph"/>
              <w:ind w:left="0"/>
              <w:jc w:val="center"/>
            </w:pPr>
            <w:r>
              <w:t>4</w:t>
            </w:r>
          </w:p>
        </w:tc>
      </w:tr>
    </w:tbl>
    <w:p w14:paraId="0D889A61" w14:textId="147637FA" w:rsidR="007D7E7D" w:rsidRDefault="007D7E7D" w:rsidP="007D7E7D">
      <w:pPr>
        <w:pStyle w:val="ListParagraph"/>
        <w:numPr>
          <w:ilvl w:val="0"/>
          <w:numId w:val="1"/>
        </w:numPr>
      </w:pPr>
      <w:r>
        <w:t xml:space="preserve">Complete the table below. </w:t>
      </w:r>
    </w:p>
    <w:tbl>
      <w:tblPr>
        <w:tblStyle w:val="TableGrid"/>
        <w:tblW w:w="0" w:type="auto"/>
        <w:tblInd w:w="720" w:type="dxa"/>
        <w:tblLook w:val="04A0" w:firstRow="1" w:lastRow="0" w:firstColumn="1" w:lastColumn="0" w:noHBand="0" w:noVBand="1"/>
      </w:tblPr>
      <w:tblGrid>
        <w:gridCol w:w="4161"/>
        <w:gridCol w:w="4129"/>
      </w:tblGrid>
      <w:tr w:rsidR="007D7E7D" w14:paraId="69F73DE3" w14:textId="77777777" w:rsidTr="007D7E7D">
        <w:tc>
          <w:tcPr>
            <w:tcW w:w="4505" w:type="dxa"/>
          </w:tcPr>
          <w:p w14:paraId="476EE09C" w14:textId="129FC64E" w:rsidR="007D7E7D" w:rsidRPr="007D7E7D" w:rsidRDefault="007D7E7D" w:rsidP="007D7E7D">
            <w:pPr>
              <w:pStyle w:val="ListParagraph"/>
              <w:ind w:left="0"/>
              <w:rPr>
                <w:b/>
                <w:bCs/>
              </w:rPr>
            </w:pPr>
            <w:r w:rsidRPr="007D7E7D">
              <w:rPr>
                <w:b/>
                <w:bCs/>
              </w:rPr>
              <w:t xml:space="preserve">Evidence to support the claim that emojis are crucial to clear online communication. </w:t>
            </w:r>
          </w:p>
        </w:tc>
        <w:tc>
          <w:tcPr>
            <w:tcW w:w="4505" w:type="dxa"/>
          </w:tcPr>
          <w:p w14:paraId="03AB9EC9" w14:textId="1881C5BA" w:rsidR="007D7E7D" w:rsidRPr="007D7E7D" w:rsidRDefault="007D7E7D" w:rsidP="007D7E7D">
            <w:pPr>
              <w:pStyle w:val="ListParagraph"/>
              <w:ind w:left="0"/>
              <w:rPr>
                <w:b/>
                <w:bCs/>
              </w:rPr>
            </w:pPr>
            <w:r>
              <w:rPr>
                <w:b/>
                <w:bCs/>
              </w:rPr>
              <w:t xml:space="preserve">Evidence to support the claim that emojis add to the history of inventiveness in English prose. </w:t>
            </w:r>
          </w:p>
        </w:tc>
      </w:tr>
      <w:tr w:rsidR="007D7E7D" w14:paraId="7E481CAD" w14:textId="77777777" w:rsidTr="007D7E7D">
        <w:tc>
          <w:tcPr>
            <w:tcW w:w="4505" w:type="dxa"/>
          </w:tcPr>
          <w:p w14:paraId="4D0E287F" w14:textId="364596C7" w:rsidR="007D7E7D" w:rsidRDefault="007D7E7D" w:rsidP="007D7E7D">
            <w:pPr>
              <w:pStyle w:val="ListParagraph"/>
              <w:ind w:left="0"/>
            </w:pPr>
            <w:r>
              <w:t>“…set of clarifying marks”</w:t>
            </w:r>
          </w:p>
        </w:tc>
        <w:tc>
          <w:tcPr>
            <w:tcW w:w="4505" w:type="dxa"/>
          </w:tcPr>
          <w:p w14:paraId="333473B8" w14:textId="77777777" w:rsidR="007D7E7D" w:rsidRDefault="007D7E7D" w:rsidP="007D7E7D">
            <w:pPr>
              <w:pStyle w:val="ListParagraph"/>
              <w:ind w:left="0"/>
            </w:pPr>
          </w:p>
        </w:tc>
      </w:tr>
      <w:tr w:rsidR="007D7E7D" w14:paraId="0EB2A7A5" w14:textId="77777777" w:rsidTr="007D7E7D">
        <w:tc>
          <w:tcPr>
            <w:tcW w:w="4505" w:type="dxa"/>
          </w:tcPr>
          <w:p w14:paraId="2F8119F3" w14:textId="1B76A83A" w:rsidR="007D7E7D" w:rsidRDefault="007D7E7D" w:rsidP="007D7E7D">
            <w:pPr>
              <w:pStyle w:val="ListParagraph"/>
              <w:ind w:left="0"/>
            </w:pPr>
            <w:r>
              <w:t>“That clarity means that emojis have a real role…”</w:t>
            </w:r>
          </w:p>
        </w:tc>
        <w:tc>
          <w:tcPr>
            <w:tcW w:w="4505" w:type="dxa"/>
          </w:tcPr>
          <w:p w14:paraId="06CD57EC" w14:textId="77777777" w:rsidR="007D7E7D" w:rsidRDefault="007D7E7D" w:rsidP="007D7E7D">
            <w:pPr>
              <w:pStyle w:val="ListParagraph"/>
              <w:ind w:left="0"/>
            </w:pPr>
          </w:p>
        </w:tc>
      </w:tr>
    </w:tbl>
    <w:p w14:paraId="164E2347" w14:textId="183950F4" w:rsidR="007D7E7D" w:rsidRDefault="007D7E7D" w:rsidP="007D7E7D">
      <w:pPr>
        <w:pStyle w:val="ListParagraph"/>
      </w:pPr>
    </w:p>
    <w:p w14:paraId="69E365B9" w14:textId="53C2562E" w:rsidR="00F93258" w:rsidRPr="00F93258" w:rsidRDefault="00F93258" w:rsidP="00F93258"/>
    <w:p w14:paraId="6170F2BC" w14:textId="451CEFD6" w:rsidR="00F93258" w:rsidRDefault="00F93258" w:rsidP="00F93258"/>
    <w:p w14:paraId="0229C0E8" w14:textId="4AF0E4F4" w:rsidR="00F93258" w:rsidRDefault="00F93258" w:rsidP="00F93258">
      <w:r>
        <w:t>NOTES:</w:t>
      </w:r>
    </w:p>
    <w:p w14:paraId="6B3031DA" w14:textId="0BC88D72" w:rsidR="00907C73" w:rsidRDefault="00F93258" w:rsidP="00F93258">
      <w:r>
        <w:t>Begins with an approach th</w:t>
      </w:r>
      <w:r w:rsidR="00907C73">
        <w:t xml:space="preserve">at is respectful of the reader. And the writer anticipates the reader’s obligations and positions them reason with later on in the article. </w:t>
      </w:r>
    </w:p>
    <w:p w14:paraId="27E70D5B" w14:textId="66E163EB" w:rsidR="00907C73" w:rsidRDefault="00907C73" w:rsidP="00F93258">
      <w:r>
        <w:t xml:space="preserve">Uses expert opinion, to which no one is confident enough to argue with. </w:t>
      </w:r>
    </w:p>
    <w:p w14:paraId="6FC30A9B" w14:textId="6D073468" w:rsidR="00907C73" w:rsidRPr="00F93258" w:rsidRDefault="00783943" w:rsidP="00F93258">
      <w:r>
        <w:t>2</w:t>
      </w:r>
      <w:bookmarkStart w:id="0" w:name="_GoBack"/>
      <w:bookmarkEnd w:id="0"/>
    </w:p>
    <w:sectPr w:rsidR="00907C73" w:rsidRPr="00F93258"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76B73"/>
    <w:multiLevelType w:val="hybridMultilevel"/>
    <w:tmpl w:val="54C2102A"/>
    <w:lvl w:ilvl="0" w:tplc="95208C6E">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A41"/>
    <w:rsid w:val="002F15EA"/>
    <w:rsid w:val="00303A41"/>
    <w:rsid w:val="00783943"/>
    <w:rsid w:val="007D7E7D"/>
    <w:rsid w:val="00907C73"/>
    <w:rsid w:val="00914DB9"/>
    <w:rsid w:val="00DB5A97"/>
    <w:rsid w:val="00DD3EE0"/>
    <w:rsid w:val="00F93258"/>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13B612D2"/>
  <w15:chartTrackingRefBased/>
  <w15:docId w15:val="{243760B6-2954-1A40-9CCC-5E2FDA7F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3A41"/>
    <w:pPr>
      <w:ind w:left="720"/>
      <w:contextualSpacing/>
    </w:pPr>
  </w:style>
  <w:style w:type="table" w:styleId="TableGrid">
    <w:name w:val="Table Grid"/>
    <w:basedOn w:val="TableNormal"/>
    <w:uiPriority w:val="39"/>
    <w:rsid w:val="00303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180</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2019-09-11T23:58:00Z</dcterms:created>
  <dcterms:modified xsi:type="dcterms:W3CDTF">2019-09-14T06:49:00Z</dcterms:modified>
</cp:coreProperties>
</file>