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0F3" w:rsidRDefault="00BA20F3" w:rsidP="00554EEF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Non-controlling interest </w:t>
      </w:r>
    </w:p>
    <w:p w:rsidR="00BA20F3" w:rsidRDefault="00BA20F3" w:rsidP="00554EEF">
      <w:pPr>
        <w:rPr>
          <w:rFonts w:ascii="Garamond" w:hAnsi="Garamond"/>
          <w:sz w:val="28"/>
        </w:rPr>
      </w:pPr>
    </w:p>
    <w:p w:rsidR="00C24D52" w:rsidRPr="00554EEF" w:rsidRDefault="00554EEF" w:rsidP="00554EEF">
      <w:pPr>
        <w:pStyle w:val="ListParagraph"/>
        <w:numPr>
          <w:ilvl w:val="0"/>
          <w:numId w:val="1"/>
        </w:numPr>
        <w:rPr>
          <w:rFonts w:ascii="Garamond" w:hAnsi="Garamond"/>
          <w:sz w:val="28"/>
        </w:rPr>
      </w:pPr>
      <w:r w:rsidRPr="00554EEF">
        <w:rPr>
          <w:rFonts w:ascii="Garamond" w:hAnsi="Garamond"/>
          <w:sz w:val="28"/>
        </w:rPr>
        <w:t>Result in the subsidiary recording a profit or loss</w:t>
      </w:r>
    </w:p>
    <w:p w:rsidR="00554EEF" w:rsidRPr="00554EEF" w:rsidRDefault="00554EEF" w:rsidP="00554EEF">
      <w:pPr>
        <w:pStyle w:val="ListParagraph"/>
        <w:numPr>
          <w:ilvl w:val="0"/>
          <w:numId w:val="1"/>
        </w:numPr>
        <w:rPr>
          <w:rFonts w:ascii="Garamond" w:hAnsi="Garamond"/>
          <w:sz w:val="28"/>
        </w:rPr>
      </w:pPr>
      <w:r w:rsidRPr="00554EEF">
        <w:rPr>
          <w:rFonts w:ascii="Garamond" w:hAnsi="Garamond"/>
          <w:sz w:val="28"/>
        </w:rPr>
        <w:t xml:space="preserve">The transaction must result in unrealised profits </w:t>
      </w:r>
    </w:p>
    <w:p w:rsidR="00554EEF" w:rsidRPr="00554EEF" w:rsidRDefault="00554EEF" w:rsidP="00554EEF">
      <w:pPr>
        <w:pStyle w:val="ListParagraph"/>
        <w:numPr>
          <w:ilvl w:val="0"/>
          <w:numId w:val="1"/>
        </w:numPr>
        <w:rPr>
          <w:rFonts w:ascii="Garamond" w:hAnsi="Garamond"/>
          <w:sz w:val="28"/>
        </w:rPr>
      </w:pPr>
      <w:r w:rsidRPr="00554EEF">
        <w:rPr>
          <w:rFonts w:ascii="Garamond" w:hAnsi="Garamond"/>
          <w:sz w:val="28"/>
        </w:rPr>
        <w:t xml:space="preserve">ONLY upstream transactions; subsidiary to parent </w:t>
      </w:r>
    </w:p>
    <w:p w:rsidR="00554EEF" w:rsidRPr="00554EEF" w:rsidRDefault="00554EEF">
      <w:pPr>
        <w:rPr>
          <w:rFonts w:ascii="Garamond" w:hAnsi="Garamond"/>
          <w:sz w:val="28"/>
        </w:rPr>
      </w:pPr>
    </w:p>
    <w:p w:rsidR="00554EEF" w:rsidRPr="00554EEF" w:rsidRDefault="00554EEF">
      <w:pPr>
        <w:rPr>
          <w:rFonts w:ascii="Garamond" w:hAnsi="Garamond"/>
          <w:sz w:val="28"/>
        </w:rPr>
      </w:pPr>
      <w:r w:rsidRPr="00554EEF">
        <w:rPr>
          <w:rFonts w:ascii="Garamond" w:hAnsi="Garamond"/>
          <w:sz w:val="28"/>
        </w:rPr>
        <w:t xml:space="preserve">Full effect of the intra group transactions are adjusted on consolidation – except dividends </w:t>
      </w:r>
    </w:p>
    <w:p w:rsidR="00554EEF" w:rsidRPr="00554EEF" w:rsidRDefault="00554EEF">
      <w:pPr>
        <w:rPr>
          <w:rFonts w:ascii="Garamond" w:hAnsi="Garamond"/>
          <w:sz w:val="28"/>
        </w:rPr>
      </w:pPr>
      <w:r w:rsidRPr="00554EEF">
        <w:rPr>
          <w:rFonts w:ascii="Garamond" w:hAnsi="Garamond"/>
          <w:sz w:val="28"/>
        </w:rPr>
        <w:t>The NCI is classified as equity displayed separately from parent’s equity</w:t>
      </w:r>
    </w:p>
    <w:p w:rsidR="00554EEF" w:rsidRDefault="00554EEF">
      <w:pPr>
        <w:rPr>
          <w:rFonts w:ascii="Garamond" w:hAnsi="Garamond"/>
          <w:sz w:val="28"/>
        </w:rPr>
      </w:pPr>
    </w:p>
    <w:p w:rsidR="00554EEF" w:rsidRDefault="00554EEF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Question 21.3 </w:t>
      </w:r>
    </w:p>
    <w:p w:rsidR="00554EEF" w:rsidRDefault="00554EEF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Dividends and transfers </w:t>
      </w:r>
      <w:r w:rsidRPr="00554EEF">
        <w:rPr>
          <w:rFonts w:ascii="Garamond" w:hAnsi="Garamond"/>
          <w:sz w:val="28"/>
        </w:rPr>
        <w:sym w:font="Wingdings" w:char="F0E0"/>
      </w:r>
      <w:r>
        <w:rPr>
          <w:rFonts w:ascii="Garamond" w:hAnsi="Garamond"/>
          <w:sz w:val="28"/>
        </w:rPr>
        <w:t xml:space="preserve"> have a look at the balance sheet</w:t>
      </w:r>
    </w:p>
    <w:p w:rsidR="00554EEF" w:rsidRDefault="00554EEF">
      <w:pPr>
        <w:rPr>
          <w:rFonts w:ascii="Garamond" w:hAnsi="Garamond"/>
          <w:sz w:val="28"/>
        </w:rPr>
      </w:pPr>
    </w:p>
    <w:p w:rsidR="00554EEF" w:rsidRDefault="00554EEF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Group goodwill is only when its full goodwill method </w:t>
      </w:r>
    </w:p>
    <w:p w:rsidR="00554EEF" w:rsidRDefault="00554EEF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Partial Goodwill method is only “parent’s goodwill”</w:t>
      </w:r>
    </w:p>
    <w:p w:rsidR="00BA20F3" w:rsidRDefault="00BA20F3">
      <w:pPr>
        <w:rPr>
          <w:rFonts w:ascii="Garamond" w:hAnsi="Garamond"/>
          <w:sz w:val="28"/>
        </w:rPr>
      </w:pPr>
    </w:p>
    <w:p w:rsidR="00BA20F3" w:rsidRDefault="00BA20F3">
      <w:pPr>
        <w:rPr>
          <w:rFonts w:ascii="Garamond" w:hAnsi="Garamond"/>
          <w:sz w:val="28"/>
          <w:u w:val="single"/>
        </w:rPr>
      </w:pPr>
      <w:r w:rsidRPr="00BA20F3">
        <w:rPr>
          <w:rFonts w:ascii="Garamond" w:hAnsi="Garamond"/>
          <w:sz w:val="28"/>
          <w:u w:val="single"/>
        </w:rPr>
        <w:t xml:space="preserve">Impairment previous year of brands </w:t>
      </w:r>
    </w:p>
    <w:p w:rsidR="00BA20F3" w:rsidRPr="00BA20F3" w:rsidRDefault="00BA20F3">
      <w:pPr>
        <w:rPr>
          <w:rFonts w:ascii="Garamond" w:hAnsi="Garamond"/>
          <w:sz w:val="28"/>
          <w:u w:val="single"/>
        </w:rPr>
      </w:pPr>
    </w:p>
    <w:p w:rsidR="00BA20F3" w:rsidRDefault="00BA20F3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Retained earnings (1/7/18)</w:t>
      </w:r>
      <w:r>
        <w:rPr>
          <w:rFonts w:ascii="Garamond" w:hAnsi="Garamond"/>
          <w:sz w:val="28"/>
        </w:rPr>
        <w:tab/>
      </w:r>
      <w:r>
        <w:rPr>
          <w:rFonts w:ascii="Garamond" w:hAnsi="Garamond"/>
          <w:sz w:val="28"/>
        </w:rPr>
        <w:tab/>
        <w:t>20,000</w:t>
      </w:r>
    </w:p>
    <w:p w:rsidR="00BA20F3" w:rsidRDefault="00BA20F3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ab/>
        <w:t xml:space="preserve">Acc. Impairment losses- brands </w:t>
      </w:r>
      <w:r>
        <w:rPr>
          <w:rFonts w:ascii="Garamond" w:hAnsi="Garamond"/>
          <w:sz w:val="28"/>
        </w:rPr>
        <w:tab/>
      </w:r>
      <w:r>
        <w:rPr>
          <w:rFonts w:ascii="Garamond" w:hAnsi="Garamond"/>
          <w:sz w:val="28"/>
        </w:rPr>
        <w:tab/>
      </w:r>
      <w:r>
        <w:rPr>
          <w:rFonts w:ascii="Garamond" w:hAnsi="Garamond"/>
          <w:sz w:val="28"/>
        </w:rPr>
        <w:tab/>
        <w:t>20,000</w:t>
      </w:r>
    </w:p>
    <w:p w:rsidR="00BA20F3" w:rsidRDefault="00BA20F3">
      <w:pPr>
        <w:rPr>
          <w:rFonts w:ascii="Garamond" w:hAnsi="Garamond"/>
          <w:sz w:val="28"/>
        </w:rPr>
      </w:pPr>
    </w:p>
    <w:p w:rsidR="00BA20F3" w:rsidRDefault="00BA20F3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Keep a running T account to see the effect on the retained earnings </w:t>
      </w:r>
      <w:r w:rsidRPr="00BA20F3">
        <w:rPr>
          <w:rFonts w:ascii="Garamond" w:hAnsi="Garamond"/>
          <w:sz w:val="28"/>
        </w:rPr>
        <w:sym w:font="Wingdings" w:char="F0E0"/>
      </w:r>
      <w:r>
        <w:rPr>
          <w:rFonts w:ascii="Garamond" w:hAnsi="Garamond"/>
          <w:sz w:val="28"/>
        </w:rPr>
        <w:t xml:space="preserve"> is what happened last year NOT this year</w:t>
      </w:r>
    </w:p>
    <w:p w:rsidR="00BA20F3" w:rsidRDefault="00BA20F3">
      <w:pPr>
        <w:rPr>
          <w:rFonts w:ascii="Garamond" w:hAnsi="Garamond"/>
          <w:sz w:val="28"/>
        </w:rPr>
      </w:pPr>
    </w:p>
    <w:p w:rsidR="00BA20F3" w:rsidRDefault="00781578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STEP 4: </w:t>
      </w:r>
      <w:r w:rsidR="00BA20F3">
        <w:rPr>
          <w:rFonts w:ascii="Garamond" w:hAnsi="Garamond"/>
          <w:sz w:val="28"/>
        </w:rPr>
        <w:t xml:space="preserve">RETAINED EARNINGS </w:t>
      </w:r>
      <w:r w:rsidR="00BA20F3" w:rsidRPr="00BA20F3">
        <w:rPr>
          <w:rFonts w:ascii="Garamond" w:hAnsi="Garamond"/>
          <w:sz w:val="28"/>
        </w:rPr>
        <w:sym w:font="Wingdings" w:char="F0E0"/>
      </w:r>
      <w:r w:rsidR="00BA20F3">
        <w:rPr>
          <w:rFonts w:ascii="Garamond" w:hAnsi="Garamond"/>
          <w:sz w:val="28"/>
        </w:rPr>
        <w:t xml:space="preserve"> LAST PERIOD</w:t>
      </w:r>
    </w:p>
    <w:p w:rsidR="00BA20F3" w:rsidRDefault="00781578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STEP 5: </w:t>
      </w:r>
      <w:r w:rsidR="00BA20F3">
        <w:rPr>
          <w:rFonts w:ascii="Garamond" w:hAnsi="Garamond"/>
          <w:sz w:val="28"/>
        </w:rPr>
        <w:t xml:space="preserve">PROFIT AFTER TAX (PAT) </w:t>
      </w:r>
      <w:r w:rsidR="00BA20F3" w:rsidRPr="00BA20F3">
        <w:rPr>
          <w:rFonts w:ascii="Garamond" w:hAnsi="Garamond"/>
          <w:sz w:val="28"/>
        </w:rPr>
        <w:sym w:font="Wingdings" w:char="F0E0"/>
      </w:r>
      <w:r w:rsidR="00BA20F3">
        <w:rPr>
          <w:rFonts w:ascii="Garamond" w:hAnsi="Garamond"/>
          <w:sz w:val="28"/>
        </w:rPr>
        <w:t xml:space="preserve"> THIS PERIOD</w:t>
      </w:r>
    </w:p>
    <w:p w:rsidR="00781578" w:rsidRDefault="00781578">
      <w:pPr>
        <w:rPr>
          <w:rFonts w:ascii="Garamond" w:hAnsi="Garamond"/>
          <w:sz w:val="28"/>
        </w:rPr>
      </w:pPr>
    </w:p>
    <w:p w:rsidR="00781578" w:rsidRDefault="00781578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Question 21.9 </w:t>
      </w:r>
    </w:p>
    <w:p w:rsidR="00781578" w:rsidRDefault="00781578">
      <w:pPr>
        <w:rPr>
          <w:rFonts w:ascii="Garamond" w:hAnsi="Garamond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245"/>
        <w:gridCol w:w="1276"/>
        <w:gridCol w:w="1218"/>
      </w:tblGrid>
      <w:tr w:rsidR="00781578" w:rsidTr="00781578">
        <w:tc>
          <w:tcPr>
            <w:tcW w:w="1271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  <w:tc>
          <w:tcPr>
            <w:tcW w:w="5245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>Gain on sale/ carrying amount of plant sold</w:t>
            </w:r>
          </w:p>
        </w:tc>
        <w:tc>
          <w:tcPr>
            <w:tcW w:w="1276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>XX</w:t>
            </w:r>
          </w:p>
        </w:tc>
        <w:tc>
          <w:tcPr>
            <w:tcW w:w="1218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</w:tr>
      <w:tr w:rsidR="00781578" w:rsidTr="00781578">
        <w:tc>
          <w:tcPr>
            <w:tcW w:w="1271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  <w:tc>
          <w:tcPr>
            <w:tcW w:w="5245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 xml:space="preserve">Depreciation expense </w:t>
            </w:r>
          </w:p>
        </w:tc>
        <w:tc>
          <w:tcPr>
            <w:tcW w:w="1276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>XX</w:t>
            </w:r>
          </w:p>
        </w:tc>
        <w:tc>
          <w:tcPr>
            <w:tcW w:w="1218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</w:tr>
      <w:tr w:rsidR="00781578" w:rsidTr="00781578">
        <w:tc>
          <w:tcPr>
            <w:tcW w:w="1271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  <w:tc>
          <w:tcPr>
            <w:tcW w:w="5245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>Retained earnings (1/7/16)</w:t>
            </w:r>
          </w:p>
        </w:tc>
        <w:tc>
          <w:tcPr>
            <w:tcW w:w="1276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>XX</w:t>
            </w:r>
          </w:p>
        </w:tc>
        <w:tc>
          <w:tcPr>
            <w:tcW w:w="1218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</w:tr>
      <w:tr w:rsidR="00781578" w:rsidTr="00781578">
        <w:tc>
          <w:tcPr>
            <w:tcW w:w="1271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  <w:tc>
          <w:tcPr>
            <w:tcW w:w="5245" w:type="dxa"/>
          </w:tcPr>
          <w:p w:rsidR="00781578" w:rsidRDefault="00781578" w:rsidP="00781578">
            <w:pPr>
              <w:ind w:left="720"/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 xml:space="preserve">Income Tax expense </w:t>
            </w:r>
          </w:p>
        </w:tc>
        <w:tc>
          <w:tcPr>
            <w:tcW w:w="1276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  <w:tc>
          <w:tcPr>
            <w:tcW w:w="1218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>XX</w:t>
            </w:r>
          </w:p>
        </w:tc>
      </w:tr>
      <w:tr w:rsidR="00781578" w:rsidTr="00781578">
        <w:tc>
          <w:tcPr>
            <w:tcW w:w="1271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  <w:tc>
          <w:tcPr>
            <w:tcW w:w="5245" w:type="dxa"/>
          </w:tcPr>
          <w:p w:rsidR="00781578" w:rsidRDefault="00781578" w:rsidP="00781578">
            <w:pPr>
              <w:ind w:left="720"/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>Transfer from BCVR</w:t>
            </w:r>
          </w:p>
        </w:tc>
        <w:tc>
          <w:tcPr>
            <w:tcW w:w="1276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  <w:tc>
          <w:tcPr>
            <w:tcW w:w="1218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>XX</w:t>
            </w:r>
          </w:p>
        </w:tc>
      </w:tr>
      <w:tr w:rsidR="00781578" w:rsidTr="00781578">
        <w:tc>
          <w:tcPr>
            <w:tcW w:w="1271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  <w:tc>
          <w:tcPr>
            <w:tcW w:w="5245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>(Sale of plant)</w:t>
            </w:r>
          </w:p>
        </w:tc>
        <w:tc>
          <w:tcPr>
            <w:tcW w:w="1276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  <w:tc>
          <w:tcPr>
            <w:tcW w:w="1218" w:type="dxa"/>
          </w:tcPr>
          <w:p w:rsidR="00781578" w:rsidRDefault="00781578">
            <w:pPr>
              <w:rPr>
                <w:rFonts w:ascii="Garamond" w:hAnsi="Garamond"/>
                <w:sz w:val="28"/>
              </w:rPr>
            </w:pPr>
          </w:p>
        </w:tc>
      </w:tr>
    </w:tbl>
    <w:p w:rsidR="00781578" w:rsidRDefault="00781578">
      <w:pPr>
        <w:rPr>
          <w:rFonts w:ascii="Garamond" w:hAnsi="Garamond"/>
          <w:sz w:val="28"/>
        </w:rPr>
      </w:pPr>
    </w:p>
    <w:p w:rsidR="00595DB2" w:rsidRDefault="00595DB2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We do not use the full amounts for the pre-acquisition entries</w:t>
      </w:r>
      <w:r w:rsidRPr="00595DB2">
        <w:rPr>
          <w:rFonts w:ascii="Garamond" w:hAnsi="Garamond"/>
          <w:sz w:val="28"/>
        </w:rPr>
        <w:sym w:font="Wingdings" w:char="F0E0"/>
      </w:r>
      <w:r>
        <w:rPr>
          <w:rFonts w:ascii="Garamond" w:hAnsi="Garamond"/>
          <w:sz w:val="28"/>
        </w:rPr>
        <w:t xml:space="preserve"> only use the parent’s shareholding percentage </w:t>
      </w:r>
    </w:p>
    <w:p w:rsidR="00595DB2" w:rsidRDefault="00595DB2">
      <w:pPr>
        <w:rPr>
          <w:rFonts w:ascii="Garamond" w:hAnsi="Garamond"/>
          <w:sz w:val="28"/>
        </w:rPr>
      </w:pPr>
    </w:p>
    <w:p w:rsidR="00595DB2" w:rsidRDefault="007208B9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Question 21.9</w:t>
      </w:r>
      <w:r w:rsidRPr="007208B9">
        <w:rPr>
          <w:rFonts w:ascii="Garamond" w:hAnsi="Garamond"/>
          <w:sz w:val="28"/>
        </w:rPr>
        <w:sym w:font="Wingdings" w:char="F0E0"/>
      </w:r>
      <w:r>
        <w:rPr>
          <w:rFonts w:ascii="Garamond" w:hAnsi="Garamond"/>
          <w:sz w:val="28"/>
        </w:rPr>
        <w:t xml:space="preserve"> practice exam question </w:t>
      </w:r>
    </w:p>
    <w:p w:rsidR="007208B9" w:rsidRPr="00554EEF" w:rsidRDefault="007208B9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Question 21.11</w:t>
      </w:r>
      <w:bookmarkStart w:id="0" w:name="_GoBack"/>
      <w:bookmarkEnd w:id="0"/>
    </w:p>
    <w:sectPr w:rsidR="007208B9" w:rsidRPr="00554EEF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5298"/>
    <w:multiLevelType w:val="hybridMultilevel"/>
    <w:tmpl w:val="DFCAFD24"/>
    <w:lvl w:ilvl="0" w:tplc="3B1AAA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EEF"/>
    <w:rsid w:val="004B0C10"/>
    <w:rsid w:val="00554EEF"/>
    <w:rsid w:val="00595DB2"/>
    <w:rsid w:val="007208B9"/>
    <w:rsid w:val="00781578"/>
    <w:rsid w:val="00B170F2"/>
    <w:rsid w:val="00BA20F3"/>
    <w:rsid w:val="00C24D52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7DBBB3"/>
  <w15:chartTrackingRefBased/>
  <w15:docId w15:val="{B5E5CC5E-F48A-AF49-AC5E-8298B90B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EEF"/>
    <w:pPr>
      <w:ind w:left="720"/>
      <w:contextualSpacing/>
    </w:pPr>
  </w:style>
  <w:style w:type="table" w:styleId="TableGrid">
    <w:name w:val="Table Grid"/>
    <w:basedOn w:val="TableNormal"/>
    <w:uiPriority w:val="39"/>
    <w:rsid w:val="00781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2018-10-07T23:20:00Z</dcterms:created>
  <dcterms:modified xsi:type="dcterms:W3CDTF">2018-10-08T08:58:00Z</dcterms:modified>
</cp:coreProperties>
</file>