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03F" w:rsidRPr="00795C38" w:rsidRDefault="00795C38" w:rsidP="00575C8B">
      <w:pPr>
        <w:spacing w:line="276" w:lineRule="auto"/>
        <w:jc w:val="both"/>
        <w:rPr>
          <w:b/>
          <w:sz w:val="28"/>
        </w:rPr>
      </w:pPr>
      <w:r w:rsidRPr="00795C38">
        <w:rPr>
          <w:b/>
          <w:sz w:val="28"/>
        </w:rPr>
        <w:t>ACC2200- Management Accounting Tutorial Homework</w:t>
      </w:r>
    </w:p>
    <w:p w:rsidR="00795C38" w:rsidRDefault="00795C38" w:rsidP="00575C8B">
      <w:pPr>
        <w:spacing w:line="276" w:lineRule="auto"/>
        <w:jc w:val="both"/>
      </w:pPr>
    </w:p>
    <w:p w:rsidR="00795C38" w:rsidRPr="00906BF2" w:rsidRDefault="00795C38" w:rsidP="00575C8B">
      <w:pPr>
        <w:spacing w:line="276" w:lineRule="auto"/>
        <w:jc w:val="both"/>
        <w:rPr>
          <w:color w:val="FF0000"/>
        </w:rPr>
      </w:pPr>
      <w:r w:rsidRPr="00575C8B">
        <w:rPr>
          <w:color w:val="FF0000"/>
        </w:rPr>
        <w:t>Week 7: Overhead Costs at a Closer Look</w:t>
      </w:r>
    </w:p>
    <w:p w:rsidR="00795C38" w:rsidRPr="00906BF2" w:rsidRDefault="00795C38" w:rsidP="00575C8B">
      <w:pPr>
        <w:spacing w:line="276" w:lineRule="auto"/>
        <w:jc w:val="both"/>
        <w:rPr>
          <w:b/>
          <w:color w:val="FF0000"/>
        </w:rPr>
      </w:pPr>
      <w:r w:rsidRPr="00575C8B">
        <w:rPr>
          <w:color w:val="FF0000"/>
        </w:rPr>
        <w:t xml:space="preserve">Tutorial Question: Chapter 7- 7.1, 7.9, 7.10, 7.28, 7.29, 7.30, </w:t>
      </w:r>
      <w:r w:rsidRPr="00575C8B">
        <w:rPr>
          <w:b/>
          <w:color w:val="FF0000"/>
        </w:rPr>
        <w:t>7.40, 7.41</w:t>
      </w:r>
    </w:p>
    <w:p w:rsidR="00795C38" w:rsidRDefault="00795C38" w:rsidP="00575C8B">
      <w:pPr>
        <w:spacing w:line="276" w:lineRule="auto"/>
        <w:jc w:val="both"/>
      </w:pPr>
    </w:p>
    <w:p w:rsidR="00795C38" w:rsidRPr="00575C8B" w:rsidRDefault="00795C38" w:rsidP="00575C8B">
      <w:pPr>
        <w:spacing w:line="276" w:lineRule="auto"/>
        <w:jc w:val="both"/>
        <w:rPr>
          <w:b/>
          <w:u w:val="single"/>
        </w:rPr>
      </w:pPr>
      <w:r w:rsidRPr="00575C8B">
        <w:rPr>
          <w:b/>
          <w:u w:val="single"/>
        </w:rPr>
        <w:t xml:space="preserve">Question 7.1 </w:t>
      </w:r>
    </w:p>
    <w:p w:rsidR="00795C38" w:rsidRDefault="00795C38" w:rsidP="00575C8B">
      <w:pPr>
        <w:spacing w:line="276" w:lineRule="auto"/>
        <w:jc w:val="both"/>
      </w:pPr>
    </w:p>
    <w:p w:rsidR="00795C38" w:rsidRDefault="00795C38" w:rsidP="00575C8B">
      <w:pPr>
        <w:spacing w:line="276" w:lineRule="auto"/>
        <w:jc w:val="both"/>
      </w:pPr>
      <w:r>
        <w:t>Overhead costs are the indirect costs incurred in the manufacturing of products. These are the factory costs that are incurred in producing products but cannot be traced directly to them. They include all manufacturing costs other than direct material and direct labour, such as the costs of supervision, power, factory security.</w:t>
      </w:r>
      <w:r w:rsidR="009441C7">
        <w:t xml:space="preserve"> We include all product-related costs other than direct costs in overheads because managers many require comprehensive estimates of product costs for making product related decisions. However, </w:t>
      </w:r>
      <w:r w:rsidR="00575C8B">
        <w:t>the</w:t>
      </w:r>
      <w:r w:rsidR="009441C7">
        <w:t xml:space="preserve"> inventory standard AASB102 says that the inventory </w:t>
      </w:r>
      <w:r w:rsidR="00575C8B">
        <w:t xml:space="preserve">valuations in external reports of manufacturing businesses only include manufacturing costs, a distinction is drawn between indirect costs within the manufacturing area, called manufacturing overhead, and other direct costs incurred along the value chain, upstream and downstream, of the manufacturing or production area. </w:t>
      </w:r>
    </w:p>
    <w:p w:rsidR="00575C8B" w:rsidRDefault="00575C8B" w:rsidP="00575C8B">
      <w:pPr>
        <w:spacing w:line="276" w:lineRule="auto"/>
        <w:jc w:val="both"/>
      </w:pPr>
    </w:p>
    <w:p w:rsidR="00575C8B" w:rsidRDefault="00575C8B" w:rsidP="00575C8B">
      <w:pPr>
        <w:spacing w:line="276" w:lineRule="auto"/>
        <w:jc w:val="both"/>
      </w:pPr>
      <w:r>
        <w:t xml:space="preserve">Upstream costs and downstream costs, regardless of whether the entity is a manufacturer, or a service provider include costs incurred before and after the production process such as research and development, design and supply costs, marketing, distribution and customer service costs. </w:t>
      </w:r>
    </w:p>
    <w:p w:rsidR="00575C8B" w:rsidRDefault="00575C8B" w:rsidP="00575C8B">
      <w:pPr>
        <w:spacing w:line="276" w:lineRule="auto"/>
        <w:jc w:val="both"/>
      </w:pPr>
    </w:p>
    <w:p w:rsidR="00575C8B" w:rsidRDefault="00575C8B" w:rsidP="00575C8B">
      <w:pPr>
        <w:spacing w:line="276" w:lineRule="auto"/>
        <w:jc w:val="both"/>
      </w:pPr>
      <w:r>
        <w:t xml:space="preserve">The indirect costs of responsibility centres are costs assigned to a unit in an organisation such as a department or division where a manager is held accountable for performance. Indirect costs cannot be traced directly to the centre, so they need to be assigned instead. </w:t>
      </w:r>
    </w:p>
    <w:p w:rsidR="00575C8B" w:rsidRDefault="00575C8B" w:rsidP="00575C8B">
      <w:pPr>
        <w:spacing w:line="276" w:lineRule="auto"/>
        <w:jc w:val="both"/>
      </w:pPr>
    </w:p>
    <w:p w:rsidR="00575C8B" w:rsidRDefault="00575C8B" w:rsidP="00575C8B">
      <w:pPr>
        <w:spacing w:line="276" w:lineRule="auto"/>
        <w:jc w:val="both"/>
        <w:rPr>
          <w:b/>
          <w:u w:val="single"/>
        </w:rPr>
      </w:pPr>
      <w:r w:rsidRPr="00575C8B">
        <w:rPr>
          <w:b/>
          <w:u w:val="single"/>
        </w:rPr>
        <w:t>Question 7.9</w:t>
      </w:r>
    </w:p>
    <w:p w:rsidR="00575C8B" w:rsidRPr="00575C8B" w:rsidRDefault="00575C8B" w:rsidP="00575C8B">
      <w:pPr>
        <w:spacing w:line="276" w:lineRule="auto"/>
        <w:jc w:val="both"/>
        <w:rPr>
          <w:b/>
          <w:u w:val="single"/>
        </w:rPr>
      </w:pPr>
    </w:p>
    <w:p w:rsidR="00575C8B" w:rsidRPr="00575C8B" w:rsidRDefault="00575C8B" w:rsidP="00575C8B">
      <w:pPr>
        <w:spacing w:line="276" w:lineRule="auto"/>
        <w:jc w:val="both"/>
      </w:pPr>
      <w:r w:rsidRPr="00575C8B">
        <w:t>A cost driver is an activity or factor that causes costs to be incurred. A volume-</w:t>
      </w:r>
      <w:r>
        <w:t xml:space="preserve">based cost </w:t>
      </w:r>
      <w:r w:rsidRPr="00575C8B">
        <w:t>driver is a cost driver that is a measure of or proxy f</w:t>
      </w:r>
      <w:r>
        <w:t xml:space="preserve">or the volume of production. An </w:t>
      </w:r>
      <w:r w:rsidRPr="00575C8B">
        <w:t>assumption underlying the use of a volume-based cost driv</w:t>
      </w:r>
      <w:r>
        <w:t xml:space="preserve">er is that costs are caused, or </w:t>
      </w:r>
      <w:r w:rsidRPr="00575C8B">
        <w:t xml:space="preserve">driven, by the volume of production. Examples include direct labour hours, machine </w:t>
      </w:r>
    </w:p>
    <w:p w:rsidR="00575C8B" w:rsidRPr="00575C8B" w:rsidRDefault="00575C8B" w:rsidP="00575C8B">
      <w:pPr>
        <w:spacing w:line="276" w:lineRule="auto"/>
        <w:jc w:val="both"/>
      </w:pPr>
      <w:r w:rsidRPr="00575C8B">
        <w:t xml:space="preserve">hours and direct material volume.  </w:t>
      </w:r>
    </w:p>
    <w:p w:rsidR="00575C8B" w:rsidRPr="00575C8B" w:rsidRDefault="00575C8B" w:rsidP="00575C8B">
      <w:pPr>
        <w:spacing w:line="276" w:lineRule="auto"/>
        <w:jc w:val="both"/>
      </w:pPr>
      <w:r w:rsidRPr="00575C8B">
        <w:t xml:space="preserve"> </w:t>
      </w:r>
    </w:p>
    <w:p w:rsidR="00575C8B" w:rsidRDefault="00575C8B" w:rsidP="00575C8B">
      <w:pPr>
        <w:spacing w:line="276" w:lineRule="auto"/>
        <w:jc w:val="both"/>
      </w:pPr>
      <w:r w:rsidRPr="00575C8B">
        <w:t xml:space="preserve">Non-volume-based cost drivers are cost drivers that are not directly related to the </w:t>
      </w:r>
      <w:r>
        <w:t>number of units produced. For e</w:t>
      </w:r>
      <w:r w:rsidRPr="00575C8B">
        <w:t>xample</w:t>
      </w:r>
      <w:r>
        <w:t xml:space="preserve">, in manufacturing the set-up costs are not driven </w:t>
      </w:r>
      <w:r w:rsidRPr="00575C8B">
        <w:t>directly by the units of output since each batch can vary in volume. In a bank, non-volume-based costs can include human resource management (driven by staff numbers), cleaning (driven by floor space or room numbers), and IT servicing (possibly driven by the number of computers)</w:t>
      </w:r>
    </w:p>
    <w:p w:rsidR="00575C8B" w:rsidRDefault="00575C8B" w:rsidP="00575C8B">
      <w:pPr>
        <w:spacing w:line="276" w:lineRule="auto"/>
        <w:jc w:val="both"/>
      </w:pPr>
    </w:p>
    <w:p w:rsidR="00575C8B" w:rsidRPr="00575C8B" w:rsidRDefault="00575C8B" w:rsidP="00575C8B">
      <w:pPr>
        <w:spacing w:line="276" w:lineRule="auto"/>
        <w:jc w:val="both"/>
        <w:rPr>
          <w:b/>
          <w:u w:val="single"/>
        </w:rPr>
      </w:pPr>
      <w:r w:rsidRPr="00575C8B">
        <w:rPr>
          <w:b/>
          <w:u w:val="single"/>
        </w:rPr>
        <w:lastRenderedPageBreak/>
        <w:t>Question 7.10</w:t>
      </w:r>
    </w:p>
    <w:p w:rsidR="00575C8B" w:rsidRDefault="00575C8B" w:rsidP="00575C8B">
      <w:pPr>
        <w:spacing w:line="276" w:lineRule="auto"/>
        <w:jc w:val="both"/>
      </w:pPr>
    </w:p>
    <w:p w:rsidR="00575C8B" w:rsidRPr="00575C8B" w:rsidRDefault="00575C8B" w:rsidP="00575C8B">
      <w:pPr>
        <w:spacing w:line="276" w:lineRule="auto"/>
        <w:jc w:val="both"/>
      </w:pPr>
      <w:r w:rsidRPr="00575C8B">
        <w:t>Labour cost is a commonly used base for allocating overhead costs to cost o</w:t>
      </w:r>
      <w:r>
        <w:t xml:space="preserve">bjects </w:t>
      </w:r>
      <w:r w:rsidRPr="00575C8B">
        <w:t>including projects such as those undertaken by FFA. Alt</w:t>
      </w:r>
      <w:r>
        <w:t>hough such projects may be self-</w:t>
      </w:r>
      <w:r w:rsidRPr="00575C8B">
        <w:t xml:space="preserve">funded by the member countries they result in additional overhead costs being incurred </w:t>
      </w:r>
      <w:r>
        <w:t xml:space="preserve">by the FFA. As </w:t>
      </w:r>
      <w:r w:rsidRPr="00575C8B">
        <w:t xml:space="preserve">these overhead costs cannot be specifically traced cost effectively </w:t>
      </w:r>
      <w:r>
        <w:t xml:space="preserve">to the individual projects, </w:t>
      </w:r>
      <w:r w:rsidRPr="00575C8B">
        <w:t xml:space="preserve">an appropriate allocation base is needed to allocate them to the </w:t>
      </w:r>
      <w:r>
        <w:t xml:space="preserve">individual projects to avoid </w:t>
      </w:r>
      <w:r w:rsidRPr="00575C8B">
        <w:t xml:space="preserve">cross-subsidisation of projects from member contributions and donations. </w:t>
      </w:r>
      <w:r>
        <w:t xml:space="preserve">It is likely that </w:t>
      </w:r>
      <w:r w:rsidRPr="00575C8B">
        <w:t xml:space="preserve">there is some relationship between the level of salary costs for the </w:t>
      </w:r>
      <w:r>
        <w:t xml:space="preserve">projects and the increase </w:t>
      </w:r>
      <w:r w:rsidRPr="00575C8B">
        <w:t xml:space="preserve">in overhead costs incurred by the FFA (as larger, higher cost </w:t>
      </w:r>
      <w:r>
        <w:t xml:space="preserve">projects are likely to require </w:t>
      </w:r>
      <w:r w:rsidRPr="00575C8B">
        <w:t>more support from FFA), though the correlation is unlikely to be perfect. In t</w:t>
      </w:r>
      <w:r>
        <w:t xml:space="preserve">he absence of a </w:t>
      </w:r>
      <w:r w:rsidRPr="00575C8B">
        <w:t>stronger logical connection and a more practical, cost effec</w:t>
      </w:r>
      <w:r>
        <w:t xml:space="preserve">tive allocation base the use of </w:t>
      </w:r>
      <w:r w:rsidRPr="00575C8B">
        <w:t>salary costs as the allocation base may be reasonable. However</w:t>
      </w:r>
      <w:r>
        <w:t xml:space="preserve">, it is not surprising that the </w:t>
      </w:r>
      <w:r w:rsidRPr="00575C8B">
        <w:t>member countries questioned and sought independent advice on the accountability of the</w:t>
      </w:r>
      <w:r>
        <w:t xml:space="preserve"> </w:t>
      </w:r>
      <w:r w:rsidRPr="00575C8B">
        <w:t>seemingly high overhead recovery rate of 66% of sa</w:t>
      </w:r>
      <w:r>
        <w:t xml:space="preserve">lary costs, because to them the </w:t>
      </w:r>
      <w:r w:rsidRPr="00575C8B">
        <w:t>overhead recovery is an uncontrollable cost.</w:t>
      </w:r>
    </w:p>
    <w:p w:rsidR="00575C8B" w:rsidRDefault="00575C8B" w:rsidP="00575C8B">
      <w:pPr>
        <w:spacing w:line="276" w:lineRule="auto"/>
      </w:pPr>
    </w:p>
    <w:p w:rsidR="00906BF2" w:rsidRDefault="00906BF2">
      <w:r>
        <w:br w:type="page"/>
      </w:r>
    </w:p>
    <w:p w:rsidR="00906BF2" w:rsidRDefault="00906BF2" w:rsidP="00906BF2">
      <w:pPr>
        <w:spacing w:line="276" w:lineRule="auto"/>
        <w:sectPr w:rsidR="00906BF2" w:rsidSect="00906BF2">
          <w:pgSz w:w="11900" w:h="16840"/>
          <w:pgMar w:top="1440" w:right="1440" w:bottom="1440" w:left="1440" w:header="708" w:footer="708" w:gutter="0"/>
          <w:cols w:space="708"/>
          <w:docGrid w:linePitch="360"/>
        </w:sectPr>
      </w:pPr>
    </w:p>
    <w:p w:rsidR="00906BF2" w:rsidRDefault="00906BF2">
      <w:r>
        <w:rPr>
          <w:noProof/>
        </w:rPr>
        <w:lastRenderedPageBreak/>
        <w:drawing>
          <wp:anchor distT="0" distB="0" distL="114300" distR="114300" simplePos="0" relativeHeight="251658240" behindDoc="1" locked="0" layoutInCell="1" allowOverlap="1">
            <wp:simplePos x="0" y="0"/>
            <wp:positionH relativeFrom="column">
              <wp:posOffset>-490855</wp:posOffset>
            </wp:positionH>
            <wp:positionV relativeFrom="paragraph">
              <wp:posOffset>0</wp:posOffset>
            </wp:positionV>
            <wp:extent cx="9552305" cy="4606290"/>
            <wp:effectExtent l="0" t="0" r="0" b="3810"/>
            <wp:wrapTight wrapText="bothSides">
              <wp:wrapPolygon edited="0">
                <wp:start x="0" y="0"/>
                <wp:lineTo x="0" y="21558"/>
                <wp:lineTo x="21567" y="21558"/>
                <wp:lineTo x="215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9-05 at 3.54.19 pm.png"/>
                    <pic:cNvPicPr/>
                  </pic:nvPicPr>
                  <pic:blipFill>
                    <a:blip r:embed="rId4">
                      <a:extLst>
                        <a:ext uri="{28A0092B-C50C-407E-A947-70E740481C1C}">
                          <a14:useLocalDpi xmlns:a14="http://schemas.microsoft.com/office/drawing/2010/main" val="0"/>
                        </a:ext>
                      </a:extLst>
                    </a:blip>
                    <a:stretch>
                      <a:fillRect/>
                    </a:stretch>
                  </pic:blipFill>
                  <pic:spPr>
                    <a:xfrm>
                      <a:off x="0" y="0"/>
                      <a:ext cx="9552305" cy="4606290"/>
                    </a:xfrm>
                    <a:prstGeom prst="rect">
                      <a:avLst/>
                    </a:prstGeom>
                  </pic:spPr>
                </pic:pic>
              </a:graphicData>
            </a:graphic>
            <wp14:sizeRelH relativeFrom="page">
              <wp14:pctWidth>0</wp14:pctWidth>
            </wp14:sizeRelH>
            <wp14:sizeRelV relativeFrom="page">
              <wp14:pctHeight>0</wp14:pctHeight>
            </wp14:sizeRelV>
          </wp:anchor>
        </w:drawing>
      </w:r>
    </w:p>
    <w:p w:rsidR="00906BF2" w:rsidRDefault="00906BF2" w:rsidP="00575C8B">
      <w:pPr>
        <w:spacing w:line="276" w:lineRule="auto"/>
      </w:pPr>
    </w:p>
    <w:p w:rsidR="00906BF2" w:rsidRDefault="00906BF2" w:rsidP="00575C8B">
      <w:pPr>
        <w:spacing w:line="276" w:lineRule="auto"/>
      </w:pPr>
    </w:p>
    <w:p w:rsidR="00906BF2" w:rsidRDefault="00906BF2" w:rsidP="00575C8B">
      <w:pPr>
        <w:spacing w:line="276" w:lineRule="auto"/>
      </w:pPr>
    </w:p>
    <w:p w:rsidR="00906BF2" w:rsidRDefault="00906BF2" w:rsidP="00575C8B">
      <w:pPr>
        <w:spacing w:line="276" w:lineRule="auto"/>
      </w:pPr>
    </w:p>
    <w:p w:rsidR="003302AD" w:rsidRDefault="003302AD" w:rsidP="00575C8B">
      <w:pPr>
        <w:spacing w:line="276" w:lineRule="auto"/>
      </w:pPr>
      <w:r>
        <w:rPr>
          <w:noProof/>
        </w:rPr>
        <w:lastRenderedPageBreak/>
        <w:drawing>
          <wp:anchor distT="0" distB="0" distL="114300" distR="114300" simplePos="0" relativeHeight="251659264" behindDoc="1" locked="0" layoutInCell="1" allowOverlap="1">
            <wp:simplePos x="0" y="0"/>
            <wp:positionH relativeFrom="column">
              <wp:posOffset>-914754</wp:posOffset>
            </wp:positionH>
            <wp:positionV relativeFrom="paragraph">
              <wp:posOffset>-128</wp:posOffset>
            </wp:positionV>
            <wp:extent cx="10438324" cy="2986269"/>
            <wp:effectExtent l="0" t="0" r="1270" b="0"/>
            <wp:wrapTight wrapText="bothSides">
              <wp:wrapPolygon edited="0">
                <wp:start x="0" y="0"/>
                <wp:lineTo x="0" y="21499"/>
                <wp:lineTo x="21576" y="21499"/>
                <wp:lineTo x="2157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05 at 3.54.06 pm.png"/>
                    <pic:cNvPicPr/>
                  </pic:nvPicPr>
                  <pic:blipFill>
                    <a:blip r:embed="rId5">
                      <a:extLst>
                        <a:ext uri="{28A0092B-C50C-407E-A947-70E740481C1C}">
                          <a14:useLocalDpi xmlns:a14="http://schemas.microsoft.com/office/drawing/2010/main" val="0"/>
                        </a:ext>
                      </a:extLst>
                    </a:blip>
                    <a:stretch>
                      <a:fillRect/>
                    </a:stretch>
                  </pic:blipFill>
                  <pic:spPr>
                    <a:xfrm>
                      <a:off x="0" y="0"/>
                      <a:ext cx="10438324" cy="2986269"/>
                    </a:xfrm>
                    <a:prstGeom prst="rect">
                      <a:avLst/>
                    </a:prstGeom>
                  </pic:spPr>
                </pic:pic>
              </a:graphicData>
            </a:graphic>
            <wp14:sizeRelH relativeFrom="page">
              <wp14:pctWidth>0</wp14:pctWidth>
            </wp14:sizeRelH>
            <wp14:sizeRelV relativeFrom="page">
              <wp14:pctHeight>0</wp14:pctHeight>
            </wp14:sizeRelV>
          </wp:anchor>
        </w:drawing>
      </w:r>
    </w:p>
    <w:p w:rsidR="003302AD" w:rsidRDefault="003302AD" w:rsidP="00575C8B">
      <w:pPr>
        <w:spacing w:line="276" w:lineRule="auto"/>
      </w:pPr>
    </w:p>
    <w:p w:rsidR="003302AD" w:rsidRDefault="003302AD" w:rsidP="00575C8B">
      <w:pPr>
        <w:spacing w:line="276" w:lineRule="auto"/>
      </w:pPr>
    </w:p>
    <w:p w:rsidR="003302AD" w:rsidRDefault="003302AD" w:rsidP="00575C8B">
      <w:pPr>
        <w:spacing w:line="276" w:lineRule="auto"/>
      </w:pPr>
    </w:p>
    <w:p w:rsidR="003302AD" w:rsidRDefault="003302AD" w:rsidP="00575C8B">
      <w:pPr>
        <w:spacing w:line="276" w:lineRule="auto"/>
      </w:pPr>
    </w:p>
    <w:p w:rsidR="003302AD" w:rsidRDefault="003302AD" w:rsidP="00575C8B">
      <w:pPr>
        <w:spacing w:line="276" w:lineRule="auto"/>
      </w:pPr>
    </w:p>
    <w:p w:rsidR="003302AD" w:rsidRDefault="003302AD" w:rsidP="00575C8B">
      <w:pPr>
        <w:spacing w:line="276" w:lineRule="auto"/>
      </w:pPr>
    </w:p>
    <w:p w:rsidR="003302AD" w:rsidRDefault="003302AD" w:rsidP="00575C8B">
      <w:pPr>
        <w:spacing w:line="276" w:lineRule="auto"/>
      </w:pPr>
    </w:p>
    <w:p w:rsidR="003302AD" w:rsidRDefault="003302AD" w:rsidP="00575C8B">
      <w:pPr>
        <w:spacing w:line="276" w:lineRule="auto"/>
      </w:pPr>
    </w:p>
    <w:p w:rsidR="003302AD" w:rsidRPr="003302AD" w:rsidRDefault="003302AD" w:rsidP="003302AD"/>
    <w:p w:rsidR="003302AD" w:rsidRPr="003302AD" w:rsidRDefault="003302AD" w:rsidP="003302AD"/>
    <w:p w:rsidR="003302AD" w:rsidRDefault="003302AD" w:rsidP="003302AD"/>
    <w:p w:rsidR="003302AD" w:rsidRPr="003302AD" w:rsidRDefault="003302AD" w:rsidP="003302AD">
      <w:pPr>
        <w:tabs>
          <w:tab w:val="left" w:pos="3317"/>
        </w:tabs>
      </w:pPr>
      <w:r>
        <w:tab/>
      </w:r>
      <w:bookmarkStart w:id="0" w:name="_GoBack"/>
      <w:bookmarkEnd w:id="0"/>
    </w:p>
    <w:sectPr w:rsidR="003302AD" w:rsidRPr="003302AD" w:rsidSect="00906BF2">
      <w:type w:val="oddPage"/>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C38"/>
    <w:rsid w:val="00052DF2"/>
    <w:rsid w:val="003302AD"/>
    <w:rsid w:val="00575C8B"/>
    <w:rsid w:val="00795C38"/>
    <w:rsid w:val="00860A0C"/>
    <w:rsid w:val="00906BF2"/>
    <w:rsid w:val="0093444A"/>
    <w:rsid w:val="009441C7"/>
    <w:rsid w:val="00F43436"/>
    <w:rsid w:val="00F750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A6F7"/>
  <w15:chartTrackingRefBased/>
  <w15:docId w15:val="{7EA87521-CB4B-B446-A24A-EF1EDD758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5">
    <w:name w:val="ff5"/>
    <w:basedOn w:val="DefaultParagraphFont"/>
    <w:rsid w:val="00575C8B"/>
  </w:style>
  <w:style w:type="character" w:customStyle="1" w:styleId="ff6">
    <w:name w:val="ff6"/>
    <w:basedOn w:val="DefaultParagraphFont"/>
    <w:rsid w:val="00575C8B"/>
  </w:style>
  <w:style w:type="character" w:customStyle="1" w:styleId="ls0">
    <w:name w:val="ls0"/>
    <w:basedOn w:val="DefaultParagraphFont"/>
    <w:rsid w:val="00575C8B"/>
  </w:style>
  <w:style w:type="character" w:customStyle="1" w:styleId="ls8">
    <w:name w:val="ls8"/>
    <w:basedOn w:val="DefaultParagraphFont"/>
    <w:rsid w:val="00575C8B"/>
  </w:style>
  <w:style w:type="character" w:customStyle="1" w:styleId="ws11">
    <w:name w:val="ws11"/>
    <w:basedOn w:val="DefaultParagraphFont"/>
    <w:rsid w:val="00575C8B"/>
  </w:style>
  <w:style w:type="character" w:customStyle="1" w:styleId="ws1e">
    <w:name w:val="ws1e"/>
    <w:basedOn w:val="DefaultParagraphFont"/>
    <w:rsid w:val="00575C8B"/>
  </w:style>
  <w:style w:type="character" w:customStyle="1" w:styleId="ws21">
    <w:name w:val="ws21"/>
    <w:basedOn w:val="DefaultParagraphFont"/>
    <w:rsid w:val="00575C8B"/>
  </w:style>
  <w:style w:type="character" w:customStyle="1" w:styleId="ws23">
    <w:name w:val="ws23"/>
    <w:basedOn w:val="DefaultParagraphFont"/>
    <w:rsid w:val="00575C8B"/>
  </w:style>
  <w:style w:type="character" w:customStyle="1" w:styleId="flashcard-term">
    <w:name w:val="flashcard-term"/>
    <w:basedOn w:val="DefaultParagraphFont"/>
    <w:rsid w:val="00575C8B"/>
  </w:style>
  <w:style w:type="character" w:customStyle="1" w:styleId="ws27">
    <w:name w:val="ws27"/>
    <w:basedOn w:val="DefaultParagraphFont"/>
    <w:rsid w:val="00575C8B"/>
  </w:style>
  <w:style w:type="character" w:customStyle="1" w:styleId="ws0">
    <w:name w:val="ws0"/>
    <w:basedOn w:val="DefaultParagraphFont"/>
    <w:rsid w:val="00575C8B"/>
  </w:style>
  <w:style w:type="table" w:styleId="TableGrid">
    <w:name w:val="Table Grid"/>
    <w:basedOn w:val="TableNormal"/>
    <w:uiPriority w:val="39"/>
    <w:rsid w:val="00934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02A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02A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765260">
      <w:bodyDiv w:val="1"/>
      <w:marLeft w:val="0"/>
      <w:marRight w:val="0"/>
      <w:marTop w:val="0"/>
      <w:marBottom w:val="0"/>
      <w:divBdr>
        <w:top w:val="none" w:sz="0" w:space="0" w:color="auto"/>
        <w:left w:val="none" w:sz="0" w:space="0" w:color="auto"/>
        <w:bottom w:val="none" w:sz="0" w:space="0" w:color="auto"/>
        <w:right w:val="none" w:sz="0" w:space="0" w:color="auto"/>
      </w:divBdr>
      <w:divsChild>
        <w:div w:id="1939218218">
          <w:marLeft w:val="0"/>
          <w:marRight w:val="0"/>
          <w:marTop w:val="0"/>
          <w:marBottom w:val="0"/>
          <w:divBdr>
            <w:top w:val="none" w:sz="0" w:space="0" w:color="auto"/>
            <w:left w:val="none" w:sz="0" w:space="0" w:color="auto"/>
            <w:bottom w:val="none" w:sz="0" w:space="0" w:color="auto"/>
            <w:right w:val="none" w:sz="0" w:space="0" w:color="auto"/>
          </w:divBdr>
        </w:div>
        <w:div w:id="763961387">
          <w:marLeft w:val="0"/>
          <w:marRight w:val="0"/>
          <w:marTop w:val="0"/>
          <w:marBottom w:val="0"/>
          <w:divBdr>
            <w:top w:val="none" w:sz="0" w:space="0" w:color="auto"/>
            <w:left w:val="none" w:sz="0" w:space="0" w:color="auto"/>
            <w:bottom w:val="none" w:sz="0" w:space="0" w:color="auto"/>
            <w:right w:val="none" w:sz="0" w:space="0" w:color="auto"/>
          </w:divBdr>
        </w:div>
        <w:div w:id="717701144">
          <w:marLeft w:val="0"/>
          <w:marRight w:val="0"/>
          <w:marTop w:val="0"/>
          <w:marBottom w:val="0"/>
          <w:divBdr>
            <w:top w:val="none" w:sz="0" w:space="0" w:color="auto"/>
            <w:left w:val="none" w:sz="0" w:space="0" w:color="auto"/>
            <w:bottom w:val="none" w:sz="0" w:space="0" w:color="auto"/>
            <w:right w:val="none" w:sz="0" w:space="0" w:color="auto"/>
          </w:divBdr>
        </w:div>
        <w:div w:id="2081898883">
          <w:marLeft w:val="0"/>
          <w:marRight w:val="0"/>
          <w:marTop w:val="0"/>
          <w:marBottom w:val="0"/>
          <w:divBdr>
            <w:top w:val="none" w:sz="0" w:space="0" w:color="auto"/>
            <w:left w:val="none" w:sz="0" w:space="0" w:color="auto"/>
            <w:bottom w:val="none" w:sz="0" w:space="0" w:color="auto"/>
            <w:right w:val="none" w:sz="0" w:space="0" w:color="auto"/>
          </w:divBdr>
        </w:div>
        <w:div w:id="1786003442">
          <w:marLeft w:val="0"/>
          <w:marRight w:val="0"/>
          <w:marTop w:val="0"/>
          <w:marBottom w:val="0"/>
          <w:divBdr>
            <w:top w:val="none" w:sz="0" w:space="0" w:color="auto"/>
            <w:left w:val="none" w:sz="0" w:space="0" w:color="auto"/>
            <w:bottom w:val="none" w:sz="0" w:space="0" w:color="auto"/>
            <w:right w:val="none" w:sz="0" w:space="0" w:color="auto"/>
          </w:divBdr>
        </w:div>
        <w:div w:id="795025603">
          <w:marLeft w:val="0"/>
          <w:marRight w:val="0"/>
          <w:marTop w:val="0"/>
          <w:marBottom w:val="0"/>
          <w:divBdr>
            <w:top w:val="none" w:sz="0" w:space="0" w:color="auto"/>
            <w:left w:val="none" w:sz="0" w:space="0" w:color="auto"/>
            <w:bottom w:val="none" w:sz="0" w:space="0" w:color="auto"/>
            <w:right w:val="none" w:sz="0" w:space="0" w:color="auto"/>
          </w:divBdr>
        </w:div>
        <w:div w:id="1560282950">
          <w:marLeft w:val="0"/>
          <w:marRight w:val="0"/>
          <w:marTop w:val="0"/>
          <w:marBottom w:val="0"/>
          <w:divBdr>
            <w:top w:val="none" w:sz="0" w:space="0" w:color="auto"/>
            <w:left w:val="none" w:sz="0" w:space="0" w:color="auto"/>
            <w:bottom w:val="none" w:sz="0" w:space="0" w:color="auto"/>
            <w:right w:val="none" w:sz="0" w:space="0" w:color="auto"/>
          </w:divBdr>
        </w:div>
        <w:div w:id="183835649">
          <w:marLeft w:val="0"/>
          <w:marRight w:val="0"/>
          <w:marTop w:val="0"/>
          <w:marBottom w:val="0"/>
          <w:divBdr>
            <w:top w:val="none" w:sz="0" w:space="0" w:color="auto"/>
            <w:left w:val="none" w:sz="0" w:space="0" w:color="auto"/>
            <w:bottom w:val="none" w:sz="0" w:space="0" w:color="auto"/>
            <w:right w:val="none" w:sz="0" w:space="0" w:color="auto"/>
          </w:divBdr>
        </w:div>
        <w:div w:id="1426419438">
          <w:marLeft w:val="0"/>
          <w:marRight w:val="0"/>
          <w:marTop w:val="0"/>
          <w:marBottom w:val="0"/>
          <w:divBdr>
            <w:top w:val="none" w:sz="0" w:space="0" w:color="auto"/>
            <w:left w:val="none" w:sz="0" w:space="0" w:color="auto"/>
            <w:bottom w:val="none" w:sz="0" w:space="0" w:color="auto"/>
            <w:right w:val="none" w:sz="0" w:space="0" w:color="auto"/>
          </w:divBdr>
        </w:div>
        <w:div w:id="1420715971">
          <w:marLeft w:val="0"/>
          <w:marRight w:val="0"/>
          <w:marTop w:val="0"/>
          <w:marBottom w:val="0"/>
          <w:divBdr>
            <w:top w:val="none" w:sz="0" w:space="0" w:color="auto"/>
            <w:left w:val="none" w:sz="0" w:space="0" w:color="auto"/>
            <w:bottom w:val="none" w:sz="0" w:space="0" w:color="auto"/>
            <w:right w:val="none" w:sz="0" w:space="0" w:color="auto"/>
          </w:divBdr>
        </w:div>
        <w:div w:id="970331622">
          <w:marLeft w:val="0"/>
          <w:marRight w:val="0"/>
          <w:marTop w:val="0"/>
          <w:marBottom w:val="0"/>
          <w:divBdr>
            <w:top w:val="none" w:sz="0" w:space="0" w:color="auto"/>
            <w:left w:val="none" w:sz="0" w:space="0" w:color="auto"/>
            <w:bottom w:val="none" w:sz="0" w:space="0" w:color="auto"/>
            <w:right w:val="none" w:sz="0" w:space="0" w:color="auto"/>
          </w:divBdr>
        </w:div>
        <w:div w:id="918250061">
          <w:marLeft w:val="0"/>
          <w:marRight w:val="0"/>
          <w:marTop w:val="0"/>
          <w:marBottom w:val="0"/>
          <w:divBdr>
            <w:top w:val="none" w:sz="0" w:space="0" w:color="auto"/>
            <w:left w:val="none" w:sz="0" w:space="0" w:color="auto"/>
            <w:bottom w:val="none" w:sz="0" w:space="0" w:color="auto"/>
            <w:right w:val="none" w:sz="0" w:space="0" w:color="auto"/>
          </w:divBdr>
        </w:div>
        <w:div w:id="1284271264">
          <w:marLeft w:val="0"/>
          <w:marRight w:val="0"/>
          <w:marTop w:val="0"/>
          <w:marBottom w:val="0"/>
          <w:divBdr>
            <w:top w:val="none" w:sz="0" w:space="0" w:color="auto"/>
            <w:left w:val="none" w:sz="0" w:space="0" w:color="auto"/>
            <w:bottom w:val="none" w:sz="0" w:space="0" w:color="auto"/>
            <w:right w:val="none" w:sz="0" w:space="0" w:color="auto"/>
          </w:divBdr>
        </w:div>
        <w:div w:id="1651713673">
          <w:marLeft w:val="0"/>
          <w:marRight w:val="0"/>
          <w:marTop w:val="0"/>
          <w:marBottom w:val="0"/>
          <w:divBdr>
            <w:top w:val="none" w:sz="0" w:space="0" w:color="auto"/>
            <w:left w:val="none" w:sz="0" w:space="0" w:color="auto"/>
            <w:bottom w:val="none" w:sz="0" w:space="0" w:color="auto"/>
            <w:right w:val="none" w:sz="0" w:space="0" w:color="auto"/>
          </w:divBdr>
        </w:div>
        <w:div w:id="1552230367">
          <w:marLeft w:val="0"/>
          <w:marRight w:val="0"/>
          <w:marTop w:val="0"/>
          <w:marBottom w:val="0"/>
          <w:divBdr>
            <w:top w:val="none" w:sz="0" w:space="0" w:color="auto"/>
            <w:left w:val="none" w:sz="0" w:space="0" w:color="auto"/>
            <w:bottom w:val="none" w:sz="0" w:space="0" w:color="auto"/>
            <w:right w:val="none" w:sz="0" w:space="0" w:color="auto"/>
          </w:divBdr>
        </w:div>
      </w:divsChild>
    </w:div>
    <w:div w:id="1108503405">
      <w:bodyDiv w:val="1"/>
      <w:marLeft w:val="0"/>
      <w:marRight w:val="0"/>
      <w:marTop w:val="0"/>
      <w:marBottom w:val="0"/>
      <w:divBdr>
        <w:top w:val="none" w:sz="0" w:space="0" w:color="auto"/>
        <w:left w:val="none" w:sz="0" w:space="0" w:color="auto"/>
        <w:bottom w:val="none" w:sz="0" w:space="0" w:color="auto"/>
        <w:right w:val="none" w:sz="0" w:space="0" w:color="auto"/>
      </w:divBdr>
      <w:divsChild>
        <w:div w:id="1017924931">
          <w:marLeft w:val="0"/>
          <w:marRight w:val="0"/>
          <w:marTop w:val="195"/>
          <w:marBottom w:val="195"/>
          <w:divBdr>
            <w:top w:val="none" w:sz="0" w:space="0" w:color="auto"/>
            <w:left w:val="none" w:sz="0" w:space="0" w:color="auto"/>
            <w:bottom w:val="none" w:sz="0" w:space="0" w:color="auto"/>
            <w:right w:val="none" w:sz="0" w:space="0" w:color="auto"/>
          </w:divBdr>
          <w:divsChild>
            <w:div w:id="1492335548">
              <w:marLeft w:val="0"/>
              <w:marRight w:val="0"/>
              <w:marTop w:val="0"/>
              <w:marBottom w:val="0"/>
              <w:divBdr>
                <w:top w:val="none" w:sz="0" w:space="0" w:color="auto"/>
                <w:left w:val="none" w:sz="0" w:space="0" w:color="auto"/>
                <w:bottom w:val="none" w:sz="0" w:space="0" w:color="auto"/>
                <w:right w:val="none" w:sz="0" w:space="0" w:color="auto"/>
              </w:divBdr>
              <w:divsChild>
                <w:div w:id="1585989065">
                  <w:marLeft w:val="0"/>
                  <w:marRight w:val="0"/>
                  <w:marTop w:val="0"/>
                  <w:marBottom w:val="0"/>
                  <w:divBdr>
                    <w:top w:val="none" w:sz="0" w:space="0" w:color="auto"/>
                    <w:left w:val="none" w:sz="0" w:space="0" w:color="auto"/>
                    <w:bottom w:val="none" w:sz="0" w:space="0" w:color="auto"/>
                    <w:right w:val="none" w:sz="0" w:space="0" w:color="auto"/>
                  </w:divBdr>
                </w:div>
                <w:div w:id="1237014209">
                  <w:marLeft w:val="0"/>
                  <w:marRight w:val="0"/>
                  <w:marTop w:val="0"/>
                  <w:marBottom w:val="0"/>
                  <w:divBdr>
                    <w:top w:val="none" w:sz="0" w:space="0" w:color="auto"/>
                    <w:left w:val="none" w:sz="0" w:space="0" w:color="auto"/>
                    <w:bottom w:val="none" w:sz="0" w:space="0" w:color="auto"/>
                    <w:right w:val="none" w:sz="0" w:space="0" w:color="auto"/>
                  </w:divBdr>
                </w:div>
                <w:div w:id="1520772967">
                  <w:marLeft w:val="0"/>
                  <w:marRight w:val="0"/>
                  <w:marTop w:val="0"/>
                  <w:marBottom w:val="0"/>
                  <w:divBdr>
                    <w:top w:val="none" w:sz="0" w:space="0" w:color="auto"/>
                    <w:left w:val="none" w:sz="0" w:space="0" w:color="auto"/>
                    <w:bottom w:val="none" w:sz="0" w:space="0" w:color="auto"/>
                    <w:right w:val="none" w:sz="0" w:space="0" w:color="auto"/>
                  </w:divBdr>
                </w:div>
                <w:div w:id="756436902">
                  <w:marLeft w:val="0"/>
                  <w:marRight w:val="0"/>
                  <w:marTop w:val="0"/>
                  <w:marBottom w:val="0"/>
                  <w:divBdr>
                    <w:top w:val="none" w:sz="0" w:space="0" w:color="auto"/>
                    <w:left w:val="none" w:sz="0" w:space="0" w:color="auto"/>
                    <w:bottom w:val="none" w:sz="0" w:space="0" w:color="auto"/>
                    <w:right w:val="none" w:sz="0" w:space="0" w:color="auto"/>
                  </w:divBdr>
                </w:div>
                <w:div w:id="1113403256">
                  <w:marLeft w:val="0"/>
                  <w:marRight w:val="0"/>
                  <w:marTop w:val="0"/>
                  <w:marBottom w:val="0"/>
                  <w:divBdr>
                    <w:top w:val="none" w:sz="0" w:space="0" w:color="auto"/>
                    <w:left w:val="none" w:sz="0" w:space="0" w:color="auto"/>
                    <w:bottom w:val="none" w:sz="0" w:space="0" w:color="auto"/>
                    <w:right w:val="none" w:sz="0" w:space="0" w:color="auto"/>
                  </w:divBdr>
                </w:div>
                <w:div w:id="3909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904291">
          <w:marLeft w:val="0"/>
          <w:marRight w:val="0"/>
          <w:marTop w:val="195"/>
          <w:marBottom w:val="195"/>
          <w:divBdr>
            <w:top w:val="none" w:sz="0" w:space="0" w:color="auto"/>
            <w:left w:val="none" w:sz="0" w:space="0" w:color="auto"/>
            <w:bottom w:val="none" w:sz="0" w:space="0" w:color="auto"/>
            <w:right w:val="none" w:sz="0" w:space="0" w:color="auto"/>
          </w:divBdr>
          <w:divsChild>
            <w:div w:id="1870753505">
              <w:marLeft w:val="0"/>
              <w:marRight w:val="0"/>
              <w:marTop w:val="0"/>
              <w:marBottom w:val="0"/>
              <w:divBdr>
                <w:top w:val="none" w:sz="0" w:space="0" w:color="auto"/>
                <w:left w:val="none" w:sz="0" w:space="0" w:color="auto"/>
                <w:bottom w:val="none" w:sz="0" w:space="0" w:color="auto"/>
                <w:right w:val="none" w:sz="0" w:space="0" w:color="auto"/>
              </w:divBdr>
              <w:divsChild>
                <w:div w:id="782696911">
                  <w:marLeft w:val="0"/>
                  <w:marRight w:val="0"/>
                  <w:marTop w:val="0"/>
                  <w:marBottom w:val="0"/>
                  <w:divBdr>
                    <w:top w:val="none" w:sz="0" w:space="0" w:color="auto"/>
                    <w:left w:val="none" w:sz="0" w:space="0" w:color="auto"/>
                    <w:bottom w:val="none" w:sz="0" w:space="0" w:color="auto"/>
                    <w:right w:val="none" w:sz="0" w:space="0" w:color="auto"/>
                  </w:divBdr>
                </w:div>
                <w:div w:id="1956912009">
                  <w:marLeft w:val="0"/>
                  <w:marRight w:val="0"/>
                  <w:marTop w:val="0"/>
                  <w:marBottom w:val="0"/>
                  <w:divBdr>
                    <w:top w:val="none" w:sz="0" w:space="0" w:color="auto"/>
                    <w:left w:val="none" w:sz="0" w:space="0" w:color="auto"/>
                    <w:bottom w:val="none" w:sz="0" w:space="0" w:color="auto"/>
                    <w:right w:val="none" w:sz="0" w:space="0" w:color="auto"/>
                  </w:divBdr>
                </w:div>
                <w:div w:id="1620844254">
                  <w:marLeft w:val="0"/>
                  <w:marRight w:val="0"/>
                  <w:marTop w:val="0"/>
                  <w:marBottom w:val="0"/>
                  <w:divBdr>
                    <w:top w:val="none" w:sz="0" w:space="0" w:color="auto"/>
                    <w:left w:val="none" w:sz="0" w:space="0" w:color="auto"/>
                    <w:bottom w:val="none" w:sz="0" w:space="0" w:color="auto"/>
                    <w:right w:val="none" w:sz="0" w:space="0" w:color="auto"/>
                  </w:divBdr>
                </w:div>
                <w:div w:id="1058240913">
                  <w:marLeft w:val="0"/>
                  <w:marRight w:val="0"/>
                  <w:marTop w:val="0"/>
                  <w:marBottom w:val="0"/>
                  <w:divBdr>
                    <w:top w:val="none" w:sz="0" w:space="0" w:color="auto"/>
                    <w:left w:val="none" w:sz="0" w:space="0" w:color="auto"/>
                    <w:bottom w:val="none" w:sz="0" w:space="0" w:color="auto"/>
                    <w:right w:val="none" w:sz="0" w:space="0" w:color="auto"/>
                  </w:divBdr>
                </w:div>
                <w:div w:id="1635676226">
                  <w:marLeft w:val="0"/>
                  <w:marRight w:val="0"/>
                  <w:marTop w:val="0"/>
                  <w:marBottom w:val="0"/>
                  <w:divBdr>
                    <w:top w:val="none" w:sz="0" w:space="0" w:color="auto"/>
                    <w:left w:val="none" w:sz="0" w:space="0" w:color="auto"/>
                    <w:bottom w:val="none" w:sz="0" w:space="0" w:color="auto"/>
                    <w:right w:val="none" w:sz="0" w:space="0" w:color="auto"/>
                  </w:divBdr>
                </w:div>
                <w:div w:id="829759703">
                  <w:marLeft w:val="0"/>
                  <w:marRight w:val="0"/>
                  <w:marTop w:val="0"/>
                  <w:marBottom w:val="0"/>
                  <w:divBdr>
                    <w:top w:val="none" w:sz="0" w:space="0" w:color="auto"/>
                    <w:left w:val="none" w:sz="0" w:space="0" w:color="auto"/>
                    <w:bottom w:val="none" w:sz="0" w:space="0" w:color="auto"/>
                    <w:right w:val="none" w:sz="0" w:space="0" w:color="auto"/>
                  </w:divBdr>
                </w:div>
                <w:div w:id="1930000465">
                  <w:marLeft w:val="0"/>
                  <w:marRight w:val="0"/>
                  <w:marTop w:val="0"/>
                  <w:marBottom w:val="0"/>
                  <w:divBdr>
                    <w:top w:val="none" w:sz="0" w:space="0" w:color="auto"/>
                    <w:left w:val="none" w:sz="0" w:space="0" w:color="auto"/>
                    <w:bottom w:val="none" w:sz="0" w:space="0" w:color="auto"/>
                    <w:right w:val="none" w:sz="0" w:space="0" w:color="auto"/>
                  </w:divBdr>
                </w:div>
                <w:div w:id="1450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cp:lastPrinted>2018-09-05T06:19:00Z</cp:lastPrinted>
  <dcterms:created xsi:type="dcterms:W3CDTF">2018-09-05T06:19:00Z</dcterms:created>
  <dcterms:modified xsi:type="dcterms:W3CDTF">2018-09-05T09:42:00Z</dcterms:modified>
</cp:coreProperties>
</file>