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63E" w:rsidRDefault="0070263E" w:rsidP="0070263E">
      <w:pPr>
        <w:rPr>
          <w:rFonts w:ascii="Century Schoolbook" w:eastAsia="Times New Roman" w:hAnsi="Century Schoolbook" w:cs="Times New Roman"/>
          <w:color w:val="111111"/>
          <w:sz w:val="29"/>
          <w:szCs w:val="29"/>
          <w:shd w:val="clear" w:color="auto" w:fill="FFFFFF"/>
        </w:rPr>
      </w:pPr>
      <w:r>
        <w:rPr>
          <w:rFonts w:ascii="Century Schoolbook" w:eastAsia="Times New Roman" w:hAnsi="Century Schoolbook" w:cs="Times New Roman"/>
          <w:color w:val="111111"/>
          <w:sz w:val="29"/>
          <w:szCs w:val="29"/>
          <w:shd w:val="clear" w:color="auto" w:fill="FFFFFF"/>
        </w:rPr>
        <w:t xml:space="preserve">Example website encompasses the following: </w:t>
      </w:r>
    </w:p>
    <w:p w:rsidR="0070263E" w:rsidRPr="0070263E" w:rsidRDefault="0070263E" w:rsidP="0070263E">
      <w:pPr>
        <w:pStyle w:val="ListParagraph"/>
        <w:numPr>
          <w:ilvl w:val="0"/>
          <w:numId w:val="1"/>
        </w:numPr>
        <w:rPr>
          <w:rFonts w:ascii="Century Schoolbook" w:eastAsia="Times New Roman" w:hAnsi="Century Schoolbook" w:cs="Times New Roman"/>
          <w:color w:val="111111"/>
          <w:sz w:val="29"/>
          <w:szCs w:val="29"/>
          <w:shd w:val="clear" w:color="auto" w:fill="FFFFFF"/>
        </w:rPr>
      </w:pPr>
      <w:r w:rsidRPr="0070263E">
        <w:rPr>
          <w:rFonts w:ascii="Century Schoolbook" w:eastAsia="Times New Roman" w:hAnsi="Century Schoolbook" w:cs="Times New Roman"/>
          <w:color w:val="111111"/>
          <w:sz w:val="29"/>
          <w:szCs w:val="29"/>
          <w:shd w:val="clear" w:color="auto" w:fill="FFFFFF"/>
        </w:rPr>
        <w:t>Home page</w:t>
      </w:r>
    </w:p>
    <w:p w:rsidR="0070263E" w:rsidRPr="0070263E" w:rsidRDefault="0070263E" w:rsidP="0070263E">
      <w:pPr>
        <w:pStyle w:val="ListParagraph"/>
        <w:numPr>
          <w:ilvl w:val="0"/>
          <w:numId w:val="1"/>
        </w:numPr>
        <w:rPr>
          <w:rFonts w:ascii="Century Schoolbook" w:eastAsia="Times New Roman" w:hAnsi="Century Schoolbook" w:cs="Times New Roman"/>
          <w:color w:val="111111"/>
          <w:sz w:val="29"/>
          <w:szCs w:val="29"/>
          <w:shd w:val="clear" w:color="auto" w:fill="FFFFFF"/>
        </w:rPr>
      </w:pPr>
      <w:r w:rsidRPr="0070263E">
        <w:rPr>
          <w:rFonts w:ascii="Century Schoolbook" w:eastAsia="Times New Roman" w:hAnsi="Century Schoolbook" w:cs="Times New Roman"/>
          <w:color w:val="111111"/>
          <w:sz w:val="29"/>
          <w:szCs w:val="29"/>
          <w:shd w:val="clear" w:color="auto" w:fill="FFFFFF"/>
        </w:rPr>
        <w:t xml:space="preserve">Idealised Identities </w:t>
      </w:r>
    </w:p>
    <w:p w:rsidR="0070263E" w:rsidRPr="0070263E" w:rsidRDefault="0070263E" w:rsidP="0070263E">
      <w:pPr>
        <w:pStyle w:val="ListParagraph"/>
        <w:numPr>
          <w:ilvl w:val="0"/>
          <w:numId w:val="1"/>
        </w:numPr>
        <w:rPr>
          <w:rFonts w:ascii="Century Schoolbook" w:eastAsia="Times New Roman" w:hAnsi="Century Schoolbook" w:cs="Times New Roman"/>
          <w:color w:val="111111"/>
          <w:sz w:val="29"/>
          <w:szCs w:val="29"/>
          <w:shd w:val="clear" w:color="auto" w:fill="FFFFFF"/>
        </w:rPr>
      </w:pPr>
      <w:r w:rsidRPr="0070263E">
        <w:rPr>
          <w:rFonts w:ascii="Century Schoolbook" w:eastAsia="Times New Roman" w:hAnsi="Century Schoolbook" w:cs="Times New Roman"/>
          <w:color w:val="111111"/>
          <w:sz w:val="29"/>
          <w:szCs w:val="29"/>
          <w:shd w:val="clear" w:color="auto" w:fill="FFFFFF"/>
        </w:rPr>
        <w:t xml:space="preserve">Identity, Aesthetics and the Body </w:t>
      </w:r>
    </w:p>
    <w:p w:rsidR="0070263E" w:rsidRPr="0070263E" w:rsidRDefault="0070263E" w:rsidP="0070263E">
      <w:pPr>
        <w:pStyle w:val="ListParagraph"/>
        <w:numPr>
          <w:ilvl w:val="0"/>
          <w:numId w:val="1"/>
        </w:numPr>
        <w:rPr>
          <w:rFonts w:ascii="Century Schoolbook" w:eastAsia="Times New Roman" w:hAnsi="Century Schoolbook" w:cs="Times New Roman"/>
          <w:color w:val="111111"/>
          <w:sz w:val="29"/>
          <w:szCs w:val="29"/>
          <w:shd w:val="clear" w:color="auto" w:fill="FFFFFF"/>
        </w:rPr>
      </w:pPr>
      <w:r w:rsidRPr="0070263E">
        <w:rPr>
          <w:rFonts w:ascii="Century Schoolbook" w:eastAsia="Times New Roman" w:hAnsi="Century Schoolbook" w:cs="Times New Roman"/>
          <w:color w:val="111111"/>
          <w:sz w:val="29"/>
          <w:szCs w:val="29"/>
          <w:shd w:val="clear" w:color="auto" w:fill="FFFFFF"/>
        </w:rPr>
        <w:t xml:space="preserve">Gender, Power and Identity </w:t>
      </w:r>
    </w:p>
    <w:p w:rsidR="0070263E" w:rsidRDefault="0070263E" w:rsidP="0070263E">
      <w:pPr>
        <w:rPr>
          <w:rFonts w:ascii="Century Schoolbook" w:eastAsia="Times New Roman" w:hAnsi="Century Schoolbook" w:cs="Times New Roman"/>
          <w:color w:val="111111"/>
          <w:sz w:val="29"/>
          <w:szCs w:val="29"/>
          <w:shd w:val="clear" w:color="auto" w:fill="FFFFFF"/>
        </w:rPr>
      </w:pPr>
    </w:p>
    <w:p w:rsidR="0070263E" w:rsidRDefault="0070263E" w:rsidP="0070263E">
      <w:pPr>
        <w:rPr>
          <w:rFonts w:ascii="Century Schoolbook" w:eastAsia="Times New Roman" w:hAnsi="Century Schoolbook" w:cs="Times New Roman"/>
          <w:color w:val="111111"/>
          <w:sz w:val="29"/>
          <w:szCs w:val="29"/>
          <w:shd w:val="clear" w:color="auto" w:fill="FFFFFF"/>
        </w:rPr>
      </w:pPr>
    </w:p>
    <w:p w:rsidR="0070263E" w:rsidRPr="0070263E" w:rsidRDefault="0070263E" w:rsidP="0070263E">
      <w:pPr>
        <w:rPr>
          <w:rFonts w:ascii="Century Schoolbook" w:eastAsia="Times New Roman" w:hAnsi="Century Schoolbook" w:cs="Times New Roman"/>
          <w:color w:val="FF0000"/>
          <w:sz w:val="29"/>
          <w:szCs w:val="29"/>
          <w:shd w:val="clear" w:color="auto" w:fill="FFFFFF"/>
        </w:rPr>
      </w:pPr>
      <w:r w:rsidRPr="0070263E">
        <w:rPr>
          <w:rFonts w:ascii="Century Schoolbook" w:eastAsia="Times New Roman" w:hAnsi="Century Schoolbook" w:cs="Times New Roman"/>
          <w:color w:val="FF0000"/>
          <w:sz w:val="29"/>
          <w:szCs w:val="29"/>
          <w:highlight w:val="yellow"/>
          <w:shd w:val="clear" w:color="auto" w:fill="FFFFFF"/>
        </w:rPr>
        <w:t>Homepage</w:t>
      </w:r>
      <w:r w:rsidRPr="0070263E">
        <w:rPr>
          <w:rFonts w:ascii="Century Schoolbook" w:eastAsia="Times New Roman" w:hAnsi="Century Schoolbook" w:cs="Times New Roman"/>
          <w:color w:val="FF0000"/>
          <w:sz w:val="29"/>
          <w:szCs w:val="29"/>
          <w:shd w:val="clear" w:color="auto" w:fill="FFFFFF"/>
        </w:rPr>
        <w:t xml:space="preserve"> </w:t>
      </w:r>
    </w:p>
    <w:p w:rsidR="0070263E" w:rsidRDefault="0070263E" w:rsidP="0070263E">
      <w:pPr>
        <w:rPr>
          <w:rFonts w:ascii="Century Schoolbook" w:eastAsia="Times New Roman" w:hAnsi="Century Schoolbook" w:cs="Times New Roman"/>
          <w:color w:val="111111"/>
          <w:sz w:val="29"/>
          <w:szCs w:val="29"/>
          <w:shd w:val="clear" w:color="auto" w:fill="FFFFFF"/>
        </w:rPr>
      </w:pPr>
      <w:r>
        <w:rPr>
          <w:rFonts w:ascii="Century Schoolbook" w:eastAsia="Times New Roman" w:hAnsi="Century Schoolbook" w:cs="Times New Roman"/>
          <w:color w:val="111111"/>
          <w:sz w:val="29"/>
          <w:szCs w:val="29"/>
          <w:shd w:val="clear" w:color="auto" w:fill="FFFFFF"/>
        </w:rPr>
        <w:t>THE WORKPLACE POPULAR CULTURE AND THE RELATIONSHIP TO IDENTITY</w:t>
      </w:r>
    </w:p>
    <w:p w:rsidR="0070263E" w:rsidRPr="0070263E" w:rsidRDefault="0070263E" w:rsidP="0070263E">
      <w:pPr>
        <w:shd w:val="clear" w:color="auto" w:fill="FFFFFF"/>
        <w:spacing w:before="240" w:after="192"/>
        <w:jc w:val="center"/>
        <w:textAlignment w:val="baseline"/>
        <w:outlineLvl w:val="0"/>
        <w:rPr>
          <w:rFonts w:ascii="Century Schoolbook" w:eastAsia="Times New Roman" w:hAnsi="Century Schoolbook" w:cs="Times New Roman"/>
          <w:b/>
          <w:bCs/>
          <w:caps/>
          <w:color w:val="111111"/>
          <w:kern w:val="36"/>
          <w:sz w:val="48"/>
          <w:szCs w:val="48"/>
        </w:rPr>
      </w:pPr>
      <w:r w:rsidRPr="0070263E">
        <w:rPr>
          <w:rFonts w:ascii="Century Schoolbook" w:eastAsia="Times New Roman" w:hAnsi="Century Schoolbook" w:cs="Times New Roman"/>
          <w:b/>
          <w:bCs/>
          <w:caps/>
          <w:color w:val="111111"/>
          <w:kern w:val="36"/>
          <w:sz w:val="48"/>
          <w:szCs w:val="48"/>
        </w:rPr>
        <w:t>PROTECTED: “I SAID TO MYSELF, GO AHEAD. TAKE A CHANCE. HIRE THE SMART, FAT </w:t>
      </w:r>
      <w:proofErr w:type="gramStart"/>
      <w:r w:rsidRPr="0070263E">
        <w:rPr>
          <w:rFonts w:ascii="Century Schoolbook" w:eastAsia="Times New Roman" w:hAnsi="Century Schoolbook" w:cs="Times New Roman"/>
          <w:b/>
          <w:bCs/>
          <w:caps/>
          <w:color w:val="111111"/>
          <w:kern w:val="36"/>
          <w:sz w:val="48"/>
          <w:szCs w:val="48"/>
        </w:rPr>
        <w:t>GIRL”*</w:t>
      </w:r>
      <w:proofErr w:type="gramEnd"/>
    </w:p>
    <w:p w:rsidR="0070263E" w:rsidRPr="0070263E" w:rsidRDefault="0070263E" w:rsidP="0070263E">
      <w:pPr>
        <w:rPr>
          <w:rFonts w:ascii="Times New Roman" w:eastAsia="Times New Roman" w:hAnsi="Times New Roman" w:cs="Times New Roman"/>
        </w:rPr>
      </w:pPr>
      <w:r w:rsidRPr="0070263E">
        <w:rPr>
          <w:rFonts w:ascii="Century Schoolbook" w:eastAsia="Times New Roman" w:hAnsi="Century Schoolbook" w:cs="Times New Roman"/>
          <w:color w:val="111111"/>
          <w:sz w:val="29"/>
          <w:szCs w:val="29"/>
          <w:shd w:val="clear" w:color="auto" w:fill="FFFFFF"/>
        </w:rPr>
        <w:t>This website is designed to explore the connection between self-identity and the workplace. On this site you will find an in-depth discussion on organisational theories surrounding idealised identities, identity and aesthetics, and the interconnected nature of gender, power and identity. In order to develop an understanding of these connections the motion picture </w:t>
      </w:r>
      <w:r w:rsidRPr="0070263E">
        <w:rPr>
          <w:rFonts w:ascii="Century Schoolbook" w:eastAsia="Times New Roman" w:hAnsi="Century Schoolbook" w:cs="Times New Roman"/>
          <w:i/>
          <w:iCs/>
          <w:color w:val="111111"/>
          <w:sz w:val="29"/>
          <w:szCs w:val="29"/>
          <w:bdr w:val="none" w:sz="0" w:space="0" w:color="auto" w:frame="1"/>
          <w:shd w:val="clear" w:color="auto" w:fill="FFFFFF"/>
        </w:rPr>
        <w:t>The Devil Wears Prada</w:t>
      </w:r>
      <w:r w:rsidRPr="0070263E">
        <w:rPr>
          <w:rFonts w:ascii="Century Schoolbook" w:eastAsia="Times New Roman" w:hAnsi="Century Schoolbook" w:cs="Times New Roman"/>
          <w:color w:val="111111"/>
          <w:sz w:val="29"/>
          <w:szCs w:val="29"/>
          <w:shd w:val="clear" w:color="auto" w:fill="FFFFFF"/>
        </w:rPr>
        <w:t> will be applied as an example of how popular culture both reflects and constructs popular beliefs and practices in organisational life </w:t>
      </w:r>
      <w:hyperlink r:id="rId6" w:tgtFrame="_blank" w:history="1">
        <w:r w:rsidRPr="0070263E">
          <w:rPr>
            <w:rFonts w:ascii="Century Schoolbook" w:eastAsia="Times New Roman" w:hAnsi="Century Schoolbook" w:cs="Times New Roman"/>
            <w:color w:val="000000"/>
            <w:sz w:val="29"/>
            <w:szCs w:val="29"/>
            <w:u w:val="single"/>
            <w:bdr w:val="none" w:sz="0" w:space="0" w:color="auto" w:frame="1"/>
            <w:shd w:val="clear" w:color="auto" w:fill="FFFFFF"/>
          </w:rPr>
          <w:t>(O’Sullivan &amp; Sheridan, 1999)</w:t>
        </w:r>
      </w:hyperlink>
      <w:r w:rsidRPr="0070263E">
        <w:rPr>
          <w:rFonts w:ascii="Century Schoolbook" w:eastAsia="Times New Roman" w:hAnsi="Century Schoolbook" w:cs="Times New Roman"/>
          <w:color w:val="111111"/>
          <w:sz w:val="29"/>
          <w:szCs w:val="29"/>
          <w:shd w:val="clear" w:color="auto" w:fill="FFFFFF"/>
        </w:rPr>
        <w:t xml:space="preserve">. This film has been chosen for its relevance to the fashion industry and its possible replication of the </w:t>
      </w:r>
      <w:proofErr w:type="gramStart"/>
      <w:r w:rsidRPr="0070263E">
        <w:rPr>
          <w:rFonts w:ascii="Century Schoolbook" w:eastAsia="Times New Roman" w:hAnsi="Century Schoolbook" w:cs="Times New Roman"/>
          <w:color w:val="111111"/>
          <w:sz w:val="29"/>
          <w:szCs w:val="29"/>
          <w:shd w:val="clear" w:color="auto" w:fill="FFFFFF"/>
        </w:rPr>
        <w:t>real life</w:t>
      </w:r>
      <w:proofErr w:type="gramEnd"/>
      <w:r w:rsidRPr="0070263E">
        <w:rPr>
          <w:rFonts w:ascii="Century Schoolbook" w:eastAsia="Times New Roman" w:hAnsi="Century Schoolbook" w:cs="Times New Roman"/>
          <w:color w:val="111111"/>
          <w:sz w:val="29"/>
          <w:szCs w:val="29"/>
          <w:shd w:val="clear" w:color="auto" w:fill="FFFFFF"/>
        </w:rPr>
        <w:t xml:space="preserve"> organisation US Vogue, further highlighting the </w:t>
      </w:r>
      <w:proofErr w:type="spellStart"/>
      <w:r w:rsidRPr="0070263E">
        <w:rPr>
          <w:rFonts w:ascii="Century Schoolbook" w:eastAsia="Times New Roman" w:hAnsi="Century Schoolbook" w:cs="Times New Roman"/>
          <w:color w:val="111111"/>
          <w:sz w:val="29"/>
          <w:szCs w:val="29"/>
          <w:shd w:val="clear" w:color="auto" w:fill="FFFFFF"/>
        </w:rPr>
        <w:t>the</w:t>
      </w:r>
      <w:proofErr w:type="spellEnd"/>
      <w:r w:rsidRPr="0070263E">
        <w:rPr>
          <w:rFonts w:ascii="Century Schoolbook" w:eastAsia="Times New Roman" w:hAnsi="Century Schoolbook" w:cs="Times New Roman"/>
          <w:color w:val="111111"/>
          <w:sz w:val="29"/>
          <w:szCs w:val="29"/>
          <w:shd w:val="clear" w:color="auto" w:fill="FFFFFF"/>
        </w:rPr>
        <w:t xml:space="preserve"> use of popular culture to conceptualise the role organisations play in individuals lives </w:t>
      </w:r>
      <w:hyperlink r:id="rId7" w:tgtFrame="_blank" w:history="1">
        <w:r w:rsidRPr="0070263E">
          <w:rPr>
            <w:rFonts w:ascii="Century Schoolbook" w:eastAsia="Times New Roman" w:hAnsi="Century Schoolbook" w:cs="Times New Roman"/>
            <w:color w:val="000000"/>
            <w:sz w:val="29"/>
            <w:szCs w:val="29"/>
            <w:u w:val="single"/>
            <w:bdr w:val="none" w:sz="0" w:space="0" w:color="auto" w:frame="1"/>
            <w:shd w:val="clear" w:color="auto" w:fill="FFFFFF"/>
          </w:rPr>
          <w:t>(Rhodes &amp; Westwood, 2008)</w:t>
        </w:r>
      </w:hyperlink>
      <w:r w:rsidRPr="0070263E">
        <w:rPr>
          <w:rFonts w:ascii="Century Schoolbook" w:eastAsia="Times New Roman" w:hAnsi="Century Schoolbook" w:cs="Times New Roman"/>
          <w:color w:val="111111"/>
          <w:sz w:val="29"/>
          <w:szCs w:val="29"/>
          <w:shd w:val="clear" w:color="auto" w:fill="FFFFFF"/>
        </w:rPr>
        <w:t>.</w:t>
      </w:r>
    </w:p>
    <w:p w:rsidR="0070263E" w:rsidRDefault="0070263E">
      <w:pPr>
        <w:rPr>
          <w:rFonts w:ascii="Century Schoolbook" w:eastAsia="Times New Roman" w:hAnsi="Century Schoolbook" w:cs="Times New Roman"/>
          <w:color w:val="111111"/>
          <w:sz w:val="29"/>
          <w:szCs w:val="29"/>
          <w:shd w:val="clear" w:color="auto" w:fill="FFFFFF"/>
        </w:rPr>
      </w:pPr>
      <w:r w:rsidRPr="0070263E">
        <w:rPr>
          <w:rFonts w:ascii="Century Schoolbook" w:eastAsia="Times New Roman" w:hAnsi="Century Schoolbook" w:cs="Times New Roman"/>
          <w:color w:val="111111"/>
          <w:sz w:val="29"/>
          <w:szCs w:val="29"/>
          <w:shd w:val="clear" w:color="auto" w:fill="FFFFFF"/>
        </w:rPr>
        <w:t>*</w:t>
      </w:r>
      <w:proofErr w:type="spellStart"/>
      <w:r w:rsidRPr="0070263E">
        <w:rPr>
          <w:rFonts w:ascii="Century Schoolbook" w:eastAsia="Times New Roman" w:hAnsi="Century Schoolbook" w:cs="Times New Roman"/>
          <w:color w:val="111111"/>
          <w:sz w:val="29"/>
          <w:szCs w:val="29"/>
          <w:shd w:val="clear" w:color="auto" w:fill="FFFFFF"/>
        </w:rPr>
        <w:t>Finerman</w:t>
      </w:r>
      <w:proofErr w:type="spellEnd"/>
      <w:r w:rsidRPr="0070263E">
        <w:rPr>
          <w:rFonts w:ascii="Century Schoolbook" w:eastAsia="Times New Roman" w:hAnsi="Century Schoolbook" w:cs="Times New Roman"/>
          <w:color w:val="111111"/>
          <w:sz w:val="29"/>
          <w:szCs w:val="29"/>
          <w:shd w:val="clear" w:color="auto" w:fill="FFFFFF"/>
        </w:rPr>
        <w:t>, W (Producer), &amp; Frankel, D. (2006). </w:t>
      </w:r>
      <w:r w:rsidRPr="0070263E">
        <w:rPr>
          <w:rFonts w:ascii="Century Schoolbook" w:eastAsia="Times New Roman" w:hAnsi="Century Schoolbook" w:cs="Times New Roman"/>
          <w:i/>
          <w:iCs/>
          <w:color w:val="111111"/>
          <w:sz w:val="29"/>
          <w:szCs w:val="29"/>
          <w:bdr w:val="none" w:sz="0" w:space="0" w:color="auto" w:frame="1"/>
          <w:shd w:val="clear" w:color="auto" w:fill="FFFFFF"/>
        </w:rPr>
        <w:t>The Devil Wears Prada </w:t>
      </w:r>
      <w:r w:rsidRPr="0070263E">
        <w:rPr>
          <w:rFonts w:ascii="Century Schoolbook" w:eastAsia="Times New Roman" w:hAnsi="Century Schoolbook" w:cs="Times New Roman"/>
          <w:color w:val="111111"/>
          <w:sz w:val="29"/>
          <w:szCs w:val="29"/>
          <w:shd w:val="clear" w:color="auto" w:fill="FFFFFF"/>
        </w:rPr>
        <w:t>[Motion Picture]. USA: 20</w:t>
      </w:r>
      <w:r w:rsidRPr="0070263E">
        <w:rPr>
          <w:rFonts w:ascii="Century Schoolbook" w:eastAsia="Times New Roman" w:hAnsi="Century Schoolbook" w:cs="Times New Roman"/>
          <w:color w:val="111111"/>
          <w:sz w:val="21"/>
          <w:szCs w:val="21"/>
          <w:bdr w:val="none" w:sz="0" w:space="0" w:color="auto" w:frame="1"/>
          <w:shd w:val="clear" w:color="auto" w:fill="FFFFFF"/>
          <w:vertAlign w:val="superscript"/>
        </w:rPr>
        <w:t>th</w:t>
      </w:r>
      <w:r w:rsidRPr="0070263E">
        <w:rPr>
          <w:rFonts w:ascii="Century Schoolbook" w:eastAsia="Times New Roman" w:hAnsi="Century Schoolbook" w:cs="Times New Roman"/>
          <w:color w:val="111111"/>
          <w:sz w:val="29"/>
          <w:szCs w:val="29"/>
          <w:shd w:val="clear" w:color="auto" w:fill="FFFFFF"/>
        </w:rPr>
        <w:t> Century Fox</w:t>
      </w:r>
      <w:r>
        <w:rPr>
          <w:rFonts w:ascii="Century Schoolbook" w:eastAsia="Times New Roman" w:hAnsi="Century Schoolbook" w:cs="Times New Roman"/>
          <w:color w:val="111111"/>
          <w:sz w:val="29"/>
          <w:szCs w:val="29"/>
          <w:shd w:val="clear" w:color="auto" w:fill="FFFFFF"/>
        </w:rPr>
        <w:t xml:space="preserve">. </w:t>
      </w:r>
    </w:p>
    <w:p w:rsidR="0070263E" w:rsidRDefault="0070263E">
      <w:pPr>
        <w:rPr>
          <w:rFonts w:ascii="Century Schoolbook" w:eastAsia="Times New Roman" w:hAnsi="Century Schoolbook" w:cs="Times New Roman"/>
          <w:color w:val="111111"/>
          <w:sz w:val="29"/>
          <w:szCs w:val="29"/>
          <w:shd w:val="clear" w:color="auto" w:fill="FFFFFF"/>
        </w:rPr>
      </w:pPr>
    </w:p>
    <w:p w:rsidR="0070263E" w:rsidRPr="0070263E" w:rsidRDefault="0070263E">
      <w:pPr>
        <w:rPr>
          <w:rFonts w:ascii="Century Schoolbook" w:eastAsia="Times New Roman" w:hAnsi="Century Schoolbook" w:cs="Times New Roman"/>
          <w:color w:val="FF0000"/>
          <w:sz w:val="29"/>
          <w:szCs w:val="29"/>
          <w:shd w:val="clear" w:color="auto" w:fill="FFFFFF"/>
        </w:rPr>
      </w:pPr>
      <w:r w:rsidRPr="0070263E">
        <w:rPr>
          <w:rFonts w:ascii="Century Schoolbook" w:eastAsia="Times New Roman" w:hAnsi="Century Schoolbook" w:cs="Times New Roman"/>
          <w:color w:val="FF0000"/>
          <w:sz w:val="29"/>
          <w:szCs w:val="29"/>
          <w:highlight w:val="yellow"/>
          <w:shd w:val="clear" w:color="auto" w:fill="FFFFFF"/>
        </w:rPr>
        <w:t>Idealised Identities</w:t>
      </w:r>
    </w:p>
    <w:p w:rsidR="0070263E" w:rsidRDefault="0070263E">
      <w:pPr>
        <w:rPr>
          <w:rFonts w:ascii="Century Schoolbook" w:eastAsia="Times New Roman" w:hAnsi="Century Schoolbook" w:cs="Times New Roman"/>
          <w:color w:val="111111"/>
          <w:sz w:val="29"/>
          <w:szCs w:val="29"/>
          <w:shd w:val="clear" w:color="auto" w:fill="FFFFFF"/>
        </w:rPr>
      </w:pPr>
    </w:p>
    <w:p w:rsidR="0070263E" w:rsidRDefault="0070263E">
      <w:pPr>
        <w:rPr>
          <w:rFonts w:ascii="Century Schoolbook" w:eastAsia="Times New Roman" w:hAnsi="Century Schoolbook" w:cs="Times New Roman"/>
          <w:color w:val="111111"/>
          <w:sz w:val="29"/>
          <w:szCs w:val="29"/>
          <w:shd w:val="clear" w:color="auto" w:fill="FFFFFF"/>
        </w:rPr>
      </w:pPr>
      <w:r>
        <w:rPr>
          <w:rFonts w:ascii="Century Schoolbook" w:eastAsia="Times New Roman" w:hAnsi="Century Schoolbook" w:cs="Times New Roman"/>
          <w:color w:val="111111"/>
          <w:sz w:val="29"/>
          <w:szCs w:val="29"/>
          <w:shd w:val="clear" w:color="auto" w:fill="FFFFFF"/>
        </w:rPr>
        <w:t xml:space="preserve">THE WORKPLACE POPULAR CULTURE AND THE RELATIONSHIP TO IDENTITY </w:t>
      </w:r>
    </w:p>
    <w:p w:rsidR="0070263E" w:rsidRDefault="0070263E">
      <w:pPr>
        <w:rPr>
          <w:rFonts w:ascii="Century Schoolbook" w:eastAsia="Times New Roman" w:hAnsi="Century Schoolbook" w:cs="Times New Roman"/>
          <w:color w:val="111111"/>
          <w:sz w:val="29"/>
          <w:szCs w:val="29"/>
          <w:shd w:val="clear" w:color="auto" w:fill="FFFFFF"/>
        </w:rPr>
      </w:pPr>
    </w:p>
    <w:p w:rsidR="0070263E" w:rsidRPr="0070263E" w:rsidRDefault="0070263E" w:rsidP="0070263E">
      <w:pPr>
        <w:spacing w:before="240" w:after="192"/>
        <w:jc w:val="center"/>
        <w:textAlignment w:val="baseline"/>
        <w:outlineLvl w:val="0"/>
        <w:rPr>
          <w:rFonts w:ascii="Century Schoolbook" w:eastAsia="Times New Roman" w:hAnsi="Century Schoolbook" w:cs="Times New Roman"/>
          <w:b/>
          <w:bCs/>
          <w:caps/>
          <w:kern w:val="36"/>
          <w:sz w:val="48"/>
          <w:szCs w:val="48"/>
        </w:rPr>
      </w:pPr>
      <w:r w:rsidRPr="0070263E">
        <w:rPr>
          <w:rFonts w:ascii="Century Schoolbook" w:eastAsia="Times New Roman" w:hAnsi="Century Schoolbook" w:cs="Times New Roman"/>
          <w:b/>
          <w:bCs/>
          <w:caps/>
          <w:kern w:val="36"/>
          <w:sz w:val="48"/>
          <w:szCs w:val="48"/>
        </w:rPr>
        <w:lastRenderedPageBreak/>
        <w:t>PROTECTED: IDEALISED IDENTITIES</w:t>
      </w:r>
    </w:p>
    <w:p w:rsidR="0070263E" w:rsidRPr="0070263E" w:rsidRDefault="0070263E" w:rsidP="0070263E">
      <w:pPr>
        <w:shd w:val="clear" w:color="auto" w:fill="FFFFFF"/>
        <w:textAlignment w:val="baseline"/>
        <w:rPr>
          <w:rFonts w:ascii="Century Schoolbook" w:eastAsia="Times New Roman" w:hAnsi="Century Schoolbook" w:cs="Times New Roman"/>
          <w:color w:val="111111"/>
          <w:sz w:val="29"/>
          <w:szCs w:val="29"/>
        </w:rPr>
      </w:pPr>
    </w:p>
    <w:p w:rsidR="0070263E" w:rsidRP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sidRPr="0070263E">
        <w:rPr>
          <w:rFonts w:ascii="Century Schoolbook" w:eastAsia="Times New Roman" w:hAnsi="Century Schoolbook" w:cs="Times New Roman"/>
          <w:color w:val="111111"/>
          <w:sz w:val="29"/>
          <w:szCs w:val="29"/>
        </w:rPr>
        <w:t>Self-identity is often assumed to be a personal construct, but what role is the world of work playing in influencing identity through the organisational desire to obtain an idealised worker? An idealised worker is an employee whose identity is so entwined with organisational aims and culture that they look, behaviour, perform and even value the same ideals the organisation holds </w:t>
      </w:r>
      <w:hyperlink r:id="rId8" w:tgtFrame="_blank" w:history="1">
        <w:r w:rsidRPr="0070263E">
          <w:rPr>
            <w:rFonts w:ascii="inherit" w:eastAsia="Times New Roman" w:hAnsi="inherit" w:cs="Times New Roman"/>
            <w:color w:val="000000"/>
            <w:sz w:val="29"/>
            <w:szCs w:val="29"/>
            <w:u w:val="single"/>
            <w:bdr w:val="none" w:sz="0" w:space="0" w:color="auto" w:frame="1"/>
          </w:rPr>
          <w:t xml:space="preserve">(Acker, 1990; </w:t>
        </w:r>
        <w:proofErr w:type="spellStart"/>
        <w:r w:rsidRPr="0070263E">
          <w:rPr>
            <w:rFonts w:ascii="inherit" w:eastAsia="Times New Roman" w:hAnsi="inherit" w:cs="Times New Roman"/>
            <w:color w:val="000000"/>
            <w:sz w:val="29"/>
            <w:szCs w:val="29"/>
            <w:u w:val="single"/>
            <w:bdr w:val="none" w:sz="0" w:space="0" w:color="auto" w:frame="1"/>
          </w:rPr>
          <w:t>Ashforth</w:t>
        </w:r>
        <w:proofErr w:type="spellEnd"/>
        <w:r w:rsidRPr="0070263E">
          <w:rPr>
            <w:rFonts w:ascii="inherit" w:eastAsia="Times New Roman" w:hAnsi="inherit" w:cs="Times New Roman"/>
            <w:color w:val="000000"/>
            <w:sz w:val="29"/>
            <w:szCs w:val="29"/>
            <w:u w:val="single"/>
            <w:bdr w:val="none" w:sz="0" w:space="0" w:color="auto" w:frame="1"/>
          </w:rPr>
          <w:t xml:space="preserve"> &amp; </w:t>
        </w:r>
        <w:proofErr w:type="spellStart"/>
        <w:r w:rsidRPr="0070263E">
          <w:rPr>
            <w:rFonts w:ascii="inherit" w:eastAsia="Times New Roman" w:hAnsi="inherit" w:cs="Times New Roman"/>
            <w:color w:val="000000"/>
            <w:sz w:val="29"/>
            <w:szCs w:val="29"/>
            <w:u w:val="single"/>
            <w:bdr w:val="none" w:sz="0" w:space="0" w:color="auto" w:frame="1"/>
          </w:rPr>
          <w:t>Mael</w:t>
        </w:r>
        <w:proofErr w:type="spellEnd"/>
        <w:r w:rsidRPr="0070263E">
          <w:rPr>
            <w:rFonts w:ascii="inherit" w:eastAsia="Times New Roman" w:hAnsi="inherit" w:cs="Times New Roman"/>
            <w:color w:val="000000"/>
            <w:sz w:val="29"/>
            <w:szCs w:val="29"/>
            <w:u w:val="single"/>
            <w:bdr w:val="none" w:sz="0" w:space="0" w:color="auto" w:frame="1"/>
          </w:rPr>
          <w:t>, 1989; Alvesson &amp; Willmott, 2002)</w:t>
        </w:r>
      </w:hyperlink>
      <w:r w:rsidRPr="0070263E">
        <w:rPr>
          <w:rFonts w:ascii="Century Schoolbook" w:eastAsia="Times New Roman" w:hAnsi="Century Schoolbook" w:cs="Times New Roman"/>
          <w:color w:val="111111"/>
          <w:sz w:val="29"/>
          <w:szCs w:val="29"/>
        </w:rPr>
        <w:t xml:space="preserve">. This ideal worker may be considered a management asset but as </w:t>
      </w:r>
      <w:proofErr w:type="spellStart"/>
      <w:r w:rsidRPr="0070263E">
        <w:rPr>
          <w:rFonts w:ascii="Century Schoolbook" w:eastAsia="Times New Roman" w:hAnsi="Century Schoolbook" w:cs="Times New Roman"/>
          <w:color w:val="111111"/>
          <w:sz w:val="29"/>
          <w:szCs w:val="29"/>
        </w:rPr>
        <w:t>Alversson</w:t>
      </w:r>
      <w:proofErr w:type="spellEnd"/>
      <w:r w:rsidRPr="0070263E">
        <w:rPr>
          <w:rFonts w:ascii="Century Schoolbook" w:eastAsia="Times New Roman" w:hAnsi="Century Schoolbook" w:cs="Times New Roman"/>
          <w:color w:val="111111"/>
          <w:sz w:val="29"/>
          <w:szCs w:val="29"/>
        </w:rPr>
        <w:t xml:space="preserve"> and Willmott </w:t>
      </w:r>
      <w:hyperlink r:id="rId9" w:tgtFrame="_blank" w:history="1">
        <w:r w:rsidRPr="0070263E">
          <w:rPr>
            <w:rFonts w:ascii="inherit" w:eastAsia="Times New Roman" w:hAnsi="inherit" w:cs="Times New Roman"/>
            <w:color w:val="000000"/>
            <w:sz w:val="29"/>
            <w:szCs w:val="29"/>
            <w:u w:val="single"/>
            <w:bdr w:val="none" w:sz="0" w:space="0" w:color="auto" w:frame="1"/>
          </w:rPr>
          <w:t>(2002, p. 621) </w:t>
        </w:r>
      </w:hyperlink>
      <w:r w:rsidRPr="0070263E">
        <w:rPr>
          <w:rFonts w:ascii="Century Schoolbook" w:eastAsia="Times New Roman" w:hAnsi="Century Schoolbook" w:cs="Times New Roman"/>
          <w:color w:val="111111"/>
          <w:sz w:val="29"/>
          <w:szCs w:val="29"/>
        </w:rPr>
        <w:t>highlight, “organisational members are not reducible to passive consumers of managerially designed and designated identities”. Despite the non-passive role employees play, many organisations still adopt methods of identity regulation as a means of control, implementing both direct initiatives such as formal employee policies or subtle elements of reinforcement including expressions of normative behaviour within an office </w:t>
      </w:r>
      <w:hyperlink r:id="rId10" w:tgtFrame="_blank" w:history="1">
        <w:r w:rsidRPr="0070263E">
          <w:rPr>
            <w:rFonts w:ascii="inherit" w:eastAsia="Times New Roman" w:hAnsi="inherit" w:cs="Times New Roman"/>
            <w:color w:val="000000"/>
            <w:sz w:val="29"/>
            <w:szCs w:val="29"/>
            <w:u w:val="single"/>
            <w:bdr w:val="none" w:sz="0" w:space="0" w:color="auto" w:frame="1"/>
          </w:rPr>
          <w:t>(Alvesson &amp; Willmott, 2002; Westwood &amp; Johnston, 2011)</w:t>
        </w:r>
      </w:hyperlink>
      <w:r w:rsidRPr="0070263E">
        <w:rPr>
          <w:rFonts w:ascii="Century Schoolbook" w:eastAsia="Times New Roman" w:hAnsi="Century Schoolbook" w:cs="Times New Roman"/>
          <w:color w:val="111111"/>
          <w:sz w:val="29"/>
          <w:szCs w:val="29"/>
        </w:rPr>
        <w:t>.</w:t>
      </w:r>
    </w:p>
    <w:p w:rsidR="0070263E" w:rsidRP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sidRPr="0070263E">
        <w:rPr>
          <w:rFonts w:ascii="Century Schoolbook" w:eastAsia="Times New Roman" w:hAnsi="Century Schoolbook" w:cs="Times New Roman"/>
          <w:color w:val="111111"/>
          <w:sz w:val="29"/>
          <w:szCs w:val="29"/>
        </w:rPr>
        <w:t>These forms of control and the way in which an individual may respond to identity influences are not always transparent from an internal perspective but can become clear when viewing them from an external viewpoint. This can be clearly demonstrated in the process the protagonist Andy Sachs experiences in our pop culture reference </w:t>
      </w:r>
      <w:r w:rsidRPr="0070263E">
        <w:rPr>
          <w:rFonts w:ascii="inherit" w:eastAsia="Times New Roman" w:hAnsi="inherit" w:cs="Times New Roman"/>
          <w:i/>
          <w:iCs/>
          <w:color w:val="111111"/>
          <w:sz w:val="29"/>
          <w:szCs w:val="29"/>
          <w:bdr w:val="none" w:sz="0" w:space="0" w:color="auto" w:frame="1"/>
        </w:rPr>
        <w:t>The Devil Wears Prada</w:t>
      </w:r>
      <w:r w:rsidRPr="0070263E">
        <w:rPr>
          <w:rFonts w:ascii="Century Schoolbook" w:eastAsia="Times New Roman" w:hAnsi="Century Schoolbook" w:cs="Times New Roman"/>
          <w:color w:val="111111"/>
          <w:sz w:val="29"/>
          <w:szCs w:val="29"/>
        </w:rPr>
        <w:t>.  The fact that she does not initially conform to the ideal </w:t>
      </w:r>
      <w:proofErr w:type="gramStart"/>
      <w:r w:rsidRPr="0070263E">
        <w:rPr>
          <w:rFonts w:ascii="inherit" w:eastAsia="Times New Roman" w:hAnsi="inherit" w:cs="Times New Roman"/>
          <w:i/>
          <w:iCs/>
          <w:color w:val="111111"/>
          <w:sz w:val="29"/>
          <w:szCs w:val="29"/>
          <w:bdr w:val="none" w:sz="0" w:space="0" w:color="auto" w:frame="1"/>
        </w:rPr>
        <w:t>Runway</w:t>
      </w:r>
      <w:r w:rsidRPr="0070263E">
        <w:rPr>
          <w:rFonts w:ascii="Century Schoolbook" w:eastAsia="Times New Roman" w:hAnsi="Century Schoolbook" w:cs="Times New Roman"/>
          <w:color w:val="111111"/>
          <w:sz w:val="29"/>
          <w:szCs w:val="29"/>
        </w:rPr>
        <w:t>(</w:t>
      </w:r>
      <w:proofErr w:type="gramEnd"/>
      <w:r w:rsidRPr="0070263E">
        <w:rPr>
          <w:rFonts w:ascii="Century Schoolbook" w:eastAsia="Times New Roman" w:hAnsi="Century Schoolbook" w:cs="Times New Roman"/>
          <w:color w:val="111111"/>
          <w:sz w:val="29"/>
          <w:szCs w:val="29"/>
        </w:rPr>
        <w:t>the fictional organisation) image of an idealised worker is shown in in the opening line from the film used on this website, “I said to myself, go ahead. Take a chance. Hire the smart, fat girl”, also when her prospective employer Miranda openly states “…you have no style or sense of fashion…” as a less than subtle comment on her interview outfit </w:t>
      </w:r>
      <w:hyperlink r:id="rId11" w:tgtFrame="_blank" w:history="1">
        <w:r w:rsidRPr="0070263E">
          <w:rPr>
            <w:rFonts w:ascii="inherit" w:eastAsia="Times New Roman" w:hAnsi="inherit" w:cs="Times New Roman"/>
            <w:color w:val="000000"/>
            <w:sz w:val="29"/>
            <w:szCs w:val="29"/>
            <w:u w:val="single"/>
            <w:bdr w:val="none" w:sz="0" w:space="0" w:color="auto" w:frame="1"/>
          </w:rPr>
          <w:t>(</w:t>
        </w:r>
        <w:proofErr w:type="spellStart"/>
        <w:r w:rsidRPr="0070263E">
          <w:rPr>
            <w:rFonts w:ascii="inherit" w:eastAsia="Times New Roman" w:hAnsi="inherit" w:cs="Times New Roman"/>
            <w:color w:val="000000"/>
            <w:sz w:val="29"/>
            <w:szCs w:val="29"/>
            <w:u w:val="single"/>
            <w:bdr w:val="none" w:sz="0" w:space="0" w:color="auto" w:frame="1"/>
          </w:rPr>
          <w:t>Finerman</w:t>
        </w:r>
        <w:proofErr w:type="spellEnd"/>
        <w:r w:rsidRPr="0070263E">
          <w:rPr>
            <w:rFonts w:ascii="inherit" w:eastAsia="Times New Roman" w:hAnsi="inherit" w:cs="Times New Roman"/>
            <w:color w:val="000000"/>
            <w:sz w:val="29"/>
            <w:szCs w:val="29"/>
            <w:u w:val="single"/>
            <w:bdr w:val="none" w:sz="0" w:space="0" w:color="auto" w:frame="1"/>
          </w:rPr>
          <w:t xml:space="preserve"> &amp; Frankel, 2006)</w:t>
        </w:r>
      </w:hyperlink>
      <w:r w:rsidRPr="0070263E">
        <w:rPr>
          <w:rFonts w:ascii="Century Schoolbook" w:eastAsia="Times New Roman" w:hAnsi="Century Schoolbook" w:cs="Times New Roman"/>
          <w:color w:val="111111"/>
          <w:sz w:val="29"/>
          <w:szCs w:val="29"/>
        </w:rPr>
        <w:t>. </w:t>
      </w:r>
      <w:r w:rsidRPr="0070263E">
        <w:rPr>
          <w:rFonts w:ascii="Century Schoolbook" w:eastAsia="Times New Roman" w:hAnsi="Century Schoolbook" w:cs="Times New Roman"/>
          <w:color w:val="111111"/>
          <w:sz w:val="29"/>
          <w:szCs w:val="29"/>
        </w:rPr>
        <w:lastRenderedPageBreak/>
        <w:fldChar w:fldCharType="begin"/>
      </w:r>
      <w:r w:rsidRPr="0070263E">
        <w:rPr>
          <w:rFonts w:ascii="Century Schoolbook" w:eastAsia="Times New Roman" w:hAnsi="Century Schoolbook" w:cs="Times New Roman"/>
          <w:color w:val="111111"/>
          <w:sz w:val="29"/>
          <w:szCs w:val="29"/>
        </w:rPr>
        <w:instrText xml:space="preserve"> INCLUDEPICTURE "https://workandpopculture.files.wordpress.com/2016/05/no-style-gif.gif?w=750" \* MERGEFORMATINET </w:instrText>
      </w:r>
      <w:r w:rsidRPr="0070263E">
        <w:rPr>
          <w:rFonts w:ascii="Century Schoolbook" w:eastAsia="Times New Roman" w:hAnsi="Century Schoolbook" w:cs="Times New Roman"/>
          <w:color w:val="111111"/>
          <w:sz w:val="29"/>
          <w:szCs w:val="29"/>
        </w:rPr>
        <w:fldChar w:fldCharType="separate"/>
      </w:r>
      <w:r w:rsidRPr="0070263E">
        <w:rPr>
          <w:rFonts w:ascii="Century Schoolbook" w:eastAsia="Times New Roman" w:hAnsi="Century Schoolbook" w:cs="Times New Roman"/>
          <w:noProof/>
          <w:color w:val="111111"/>
          <w:sz w:val="29"/>
          <w:szCs w:val="29"/>
        </w:rPr>
        <w:drawing>
          <wp:inline distT="0" distB="0" distL="0" distR="0">
            <wp:extent cx="6353175" cy="2705100"/>
            <wp:effectExtent l="0" t="0" r="0" b="0"/>
            <wp:docPr id="4" name="Picture 4" descr="no style 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style 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3175" cy="2705100"/>
                    </a:xfrm>
                    <a:prstGeom prst="rect">
                      <a:avLst/>
                    </a:prstGeom>
                    <a:noFill/>
                    <a:ln>
                      <a:noFill/>
                    </a:ln>
                  </pic:spPr>
                </pic:pic>
              </a:graphicData>
            </a:graphic>
          </wp:inline>
        </w:drawing>
      </w:r>
      <w:r w:rsidRPr="0070263E">
        <w:rPr>
          <w:rFonts w:ascii="Century Schoolbook" w:eastAsia="Times New Roman" w:hAnsi="Century Schoolbook" w:cs="Times New Roman"/>
          <w:color w:val="111111"/>
          <w:sz w:val="29"/>
          <w:szCs w:val="29"/>
        </w:rPr>
        <w:fldChar w:fldCharType="end"/>
      </w:r>
      <w:r w:rsidRPr="0070263E">
        <w:rPr>
          <w:rFonts w:ascii="Century Schoolbook" w:eastAsia="Times New Roman" w:hAnsi="Century Schoolbook" w:cs="Times New Roman"/>
          <w:color w:val="111111"/>
          <w:sz w:val="29"/>
          <w:szCs w:val="29"/>
        </w:rPr>
        <w:t>In the beginning Andy does not acknowledge the conflict between her professional or role identity and her self-identity. Reid </w:t>
      </w:r>
      <w:hyperlink r:id="rId13" w:tgtFrame="_blank" w:history="1">
        <w:r w:rsidRPr="0070263E">
          <w:rPr>
            <w:rFonts w:ascii="inherit" w:eastAsia="Times New Roman" w:hAnsi="inherit" w:cs="Times New Roman"/>
            <w:color w:val="000000"/>
            <w:sz w:val="29"/>
            <w:szCs w:val="29"/>
            <w:u w:val="single"/>
            <w:bdr w:val="none" w:sz="0" w:space="0" w:color="auto" w:frame="1"/>
          </w:rPr>
          <w:t>(2015)</w:t>
        </w:r>
      </w:hyperlink>
      <w:r w:rsidRPr="0070263E">
        <w:rPr>
          <w:rFonts w:ascii="Century Schoolbook" w:eastAsia="Times New Roman" w:hAnsi="Century Schoolbook" w:cs="Times New Roman"/>
          <w:color w:val="111111"/>
          <w:sz w:val="29"/>
          <w:szCs w:val="29"/>
        </w:rPr>
        <w:t> posits that this reaction is a form of ‘revealing’, disclosing that an individual does not share coherent characteristics with a desired group in order to maintain a “personally desired and authentic image” </w:t>
      </w:r>
      <w:r w:rsidRPr="0070263E">
        <w:rPr>
          <w:rFonts w:ascii="Century Schoolbook" w:eastAsia="Times New Roman" w:hAnsi="Century Schoolbook" w:cs="Times New Roman"/>
          <w:color w:val="111111"/>
          <w:sz w:val="29"/>
          <w:szCs w:val="29"/>
        </w:rPr>
        <w:fldChar w:fldCharType="begin"/>
      </w:r>
      <w:r w:rsidRPr="0070263E">
        <w:rPr>
          <w:rFonts w:ascii="Century Schoolbook" w:eastAsia="Times New Roman" w:hAnsi="Century Schoolbook" w:cs="Times New Roman"/>
          <w:color w:val="111111"/>
          <w:sz w:val="29"/>
          <w:szCs w:val="29"/>
        </w:rPr>
        <w:instrText xml:space="preserve"> INCLUDEPICTURE "https://workandpopculture.files.wordpress.com/2016/05/gif-skirt-convension.gif?w=180&amp;h=180" \* MERGEFORMATINET </w:instrText>
      </w:r>
      <w:r w:rsidRPr="0070263E">
        <w:rPr>
          <w:rFonts w:ascii="Century Schoolbook" w:eastAsia="Times New Roman" w:hAnsi="Century Schoolbook" w:cs="Times New Roman"/>
          <w:color w:val="111111"/>
          <w:sz w:val="29"/>
          <w:szCs w:val="29"/>
        </w:rPr>
        <w:fldChar w:fldCharType="separate"/>
      </w:r>
      <w:r w:rsidRPr="0070263E">
        <w:rPr>
          <w:rFonts w:ascii="Century Schoolbook" w:eastAsia="Times New Roman" w:hAnsi="Century Schoolbook" w:cs="Times New Roman"/>
          <w:noProof/>
          <w:color w:val="111111"/>
          <w:sz w:val="29"/>
          <w:szCs w:val="29"/>
        </w:rPr>
        <w:drawing>
          <wp:inline distT="0" distB="0" distL="0" distR="0">
            <wp:extent cx="2286000" cy="2286000"/>
            <wp:effectExtent l="0" t="0" r="0" b="0"/>
            <wp:docPr id="3" name="Picture 3" descr="Gif skirt conv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f skirt convens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Pr="0070263E">
        <w:rPr>
          <w:rFonts w:ascii="Century Schoolbook" w:eastAsia="Times New Roman" w:hAnsi="Century Schoolbook" w:cs="Times New Roman"/>
          <w:color w:val="111111"/>
          <w:sz w:val="29"/>
          <w:szCs w:val="29"/>
        </w:rPr>
        <w:fldChar w:fldCharType="end"/>
      </w:r>
      <w:hyperlink r:id="rId15" w:tgtFrame="_blank" w:history="1">
        <w:r w:rsidRPr="0070263E">
          <w:rPr>
            <w:rFonts w:ascii="inherit" w:eastAsia="Times New Roman" w:hAnsi="inherit" w:cs="Times New Roman"/>
            <w:color w:val="000000"/>
            <w:sz w:val="29"/>
            <w:szCs w:val="29"/>
            <w:u w:val="single"/>
            <w:bdr w:val="none" w:sz="0" w:space="0" w:color="auto" w:frame="1"/>
          </w:rPr>
          <w:t>(p.999)</w:t>
        </w:r>
      </w:hyperlink>
      <w:r w:rsidRPr="0070263E">
        <w:rPr>
          <w:rFonts w:ascii="Century Schoolbook" w:eastAsia="Times New Roman" w:hAnsi="Century Schoolbook" w:cs="Times New Roman"/>
          <w:color w:val="111111"/>
          <w:sz w:val="29"/>
          <w:szCs w:val="29"/>
        </w:rPr>
        <w:t xml:space="preserve">. She ‘reveals’ this authentic image but continuing to show contempt for the seriousness of the industry in which she is working and by continuing to wear her ‘unfashionable’ clothes. Tension builds between her professional and </w:t>
      </w:r>
      <w:proofErr w:type="spellStart"/>
      <w:r w:rsidRPr="0070263E">
        <w:rPr>
          <w:rFonts w:ascii="Century Schoolbook" w:eastAsia="Times New Roman" w:hAnsi="Century Schoolbook" w:cs="Times New Roman"/>
          <w:color w:val="111111"/>
          <w:sz w:val="29"/>
          <w:szCs w:val="29"/>
        </w:rPr>
        <w:t>self identities</w:t>
      </w:r>
      <w:proofErr w:type="spellEnd"/>
      <w:r w:rsidRPr="0070263E">
        <w:rPr>
          <w:rFonts w:ascii="Century Schoolbook" w:eastAsia="Times New Roman" w:hAnsi="Century Schoolbook" w:cs="Times New Roman"/>
          <w:color w:val="111111"/>
          <w:sz w:val="29"/>
          <w:szCs w:val="29"/>
        </w:rPr>
        <w:t xml:space="preserve"> due to lack of recognition for her work effort alone and by the conflict generated by fellow staff member Emily, who expresses repeatedly how Andy’s style and behaviour is contradictory to organisational expectations.</w:t>
      </w:r>
    </w:p>
    <w:p w:rsidR="0070263E" w:rsidRP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sidRPr="0070263E">
        <w:rPr>
          <w:rFonts w:ascii="Century Schoolbook" w:eastAsia="Times New Roman" w:hAnsi="Century Schoolbook" w:cs="Times New Roman"/>
          <w:color w:val="111111"/>
          <w:sz w:val="29"/>
          <w:szCs w:val="29"/>
        </w:rPr>
        <w:t xml:space="preserve"> A shift is seen when Andy’s self-esteem is threatened by the lack of positive reinforcement for work effort and she </w:t>
      </w:r>
      <w:proofErr w:type="gramStart"/>
      <w:r w:rsidRPr="0070263E">
        <w:rPr>
          <w:rFonts w:ascii="Century Schoolbook" w:eastAsia="Times New Roman" w:hAnsi="Century Schoolbook" w:cs="Times New Roman"/>
          <w:color w:val="111111"/>
          <w:sz w:val="29"/>
          <w:szCs w:val="29"/>
        </w:rPr>
        <w:t>enlists</w:t>
      </w:r>
      <w:proofErr w:type="gramEnd"/>
      <w:r w:rsidRPr="0070263E">
        <w:rPr>
          <w:rFonts w:ascii="Century Schoolbook" w:eastAsia="Times New Roman" w:hAnsi="Century Schoolbook" w:cs="Times New Roman"/>
          <w:color w:val="111111"/>
          <w:sz w:val="29"/>
          <w:szCs w:val="29"/>
        </w:rPr>
        <w:t xml:space="preserve"> the help of Nigel, the fashion editor, to help make her over. The make-over </w:t>
      </w:r>
      <w:r w:rsidRPr="0070263E">
        <w:rPr>
          <w:rFonts w:ascii="Century Schoolbook" w:eastAsia="Times New Roman" w:hAnsi="Century Schoolbook" w:cs="Times New Roman"/>
          <w:color w:val="111111"/>
          <w:sz w:val="29"/>
          <w:szCs w:val="29"/>
        </w:rPr>
        <w:lastRenderedPageBreak/>
        <w:t>essentially supports Reid’s </w:t>
      </w:r>
      <w:hyperlink r:id="rId16" w:tgtFrame="_blank" w:history="1">
        <w:r w:rsidRPr="0070263E">
          <w:rPr>
            <w:rFonts w:ascii="inherit" w:eastAsia="Times New Roman" w:hAnsi="inherit" w:cs="Times New Roman"/>
            <w:color w:val="000000"/>
            <w:sz w:val="29"/>
            <w:szCs w:val="29"/>
            <w:u w:val="single"/>
            <w:bdr w:val="none" w:sz="0" w:space="0" w:color="auto" w:frame="1"/>
          </w:rPr>
          <w:t>(2015)</w:t>
        </w:r>
      </w:hyperlink>
      <w:r w:rsidRPr="0070263E">
        <w:rPr>
          <w:rFonts w:ascii="Century Schoolbook" w:eastAsia="Times New Roman" w:hAnsi="Century Schoolbook" w:cs="Times New Roman"/>
          <w:color w:val="111111"/>
          <w:sz w:val="29"/>
          <w:szCs w:val="29"/>
        </w:rPr>
        <w:t> theory of ‘passing’, employing methods of covering characteristics that exclude an individual from relevant groups, thus minimising identity conflict. The organisation is successfully forming their idealised worker, achieving an efficient and stylish employee that is consistent with their culture and aims.</w:t>
      </w:r>
    </w:p>
    <w:p w:rsidR="0070263E" w:rsidRP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sidRPr="0070263E">
        <w:rPr>
          <w:rFonts w:ascii="Century Schoolbook" w:eastAsia="Times New Roman" w:hAnsi="Century Schoolbook" w:cs="Times New Roman"/>
          <w:color w:val="111111"/>
          <w:sz w:val="29"/>
          <w:szCs w:val="29"/>
        </w:rPr>
        <w:fldChar w:fldCharType="begin"/>
      </w:r>
      <w:r w:rsidRPr="0070263E">
        <w:rPr>
          <w:rFonts w:ascii="Century Schoolbook" w:eastAsia="Times New Roman" w:hAnsi="Century Schoolbook" w:cs="Times New Roman"/>
          <w:color w:val="111111"/>
          <w:sz w:val="29"/>
          <w:szCs w:val="29"/>
        </w:rPr>
        <w:instrText xml:space="preserve"> INCLUDEPICTURE "https://workandpopculture.files.wordpress.com/2016/05/before-and-after.jpg?w=276&amp;h=197" \* MERGEFORMATINET </w:instrText>
      </w:r>
      <w:r w:rsidRPr="0070263E">
        <w:rPr>
          <w:rFonts w:ascii="Century Schoolbook" w:eastAsia="Times New Roman" w:hAnsi="Century Schoolbook" w:cs="Times New Roman"/>
          <w:color w:val="111111"/>
          <w:sz w:val="29"/>
          <w:szCs w:val="29"/>
        </w:rPr>
        <w:fldChar w:fldCharType="separate"/>
      </w:r>
      <w:r w:rsidRPr="0070263E">
        <w:rPr>
          <w:rFonts w:ascii="Century Schoolbook" w:eastAsia="Times New Roman" w:hAnsi="Century Schoolbook" w:cs="Times New Roman"/>
          <w:noProof/>
          <w:color w:val="111111"/>
          <w:sz w:val="29"/>
          <w:szCs w:val="29"/>
        </w:rPr>
        <w:drawing>
          <wp:inline distT="0" distB="0" distL="0" distR="0">
            <wp:extent cx="3505200" cy="2505075"/>
            <wp:effectExtent l="0" t="0" r="0" b="0"/>
            <wp:docPr id="2" name="Picture 2" descr="before and 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fore and aft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5200" cy="2505075"/>
                    </a:xfrm>
                    <a:prstGeom prst="rect">
                      <a:avLst/>
                    </a:prstGeom>
                    <a:noFill/>
                    <a:ln>
                      <a:noFill/>
                    </a:ln>
                  </pic:spPr>
                </pic:pic>
              </a:graphicData>
            </a:graphic>
          </wp:inline>
        </w:drawing>
      </w:r>
      <w:r w:rsidRPr="0070263E">
        <w:rPr>
          <w:rFonts w:ascii="Century Schoolbook" w:eastAsia="Times New Roman" w:hAnsi="Century Schoolbook" w:cs="Times New Roman"/>
          <w:color w:val="111111"/>
          <w:sz w:val="29"/>
          <w:szCs w:val="29"/>
        </w:rPr>
        <w:fldChar w:fldCharType="end"/>
      </w:r>
    </w:p>
    <w:p w:rsidR="0070263E" w:rsidRPr="0070263E" w:rsidRDefault="0070263E" w:rsidP="0070263E">
      <w:pPr>
        <w:shd w:val="clear" w:color="auto" w:fill="FFFFFF"/>
        <w:spacing w:before="216"/>
        <w:ind w:left="120" w:right="552"/>
        <w:jc w:val="center"/>
        <w:textAlignment w:val="baseline"/>
        <w:rPr>
          <w:rFonts w:ascii="inherit" w:eastAsia="Times New Roman" w:hAnsi="inherit" w:cs="Times New Roman"/>
          <w:i/>
          <w:iCs/>
          <w:color w:val="111111"/>
          <w:sz w:val="23"/>
          <w:szCs w:val="23"/>
        </w:rPr>
      </w:pPr>
      <w:r w:rsidRPr="0070263E">
        <w:rPr>
          <w:rFonts w:ascii="inherit" w:eastAsia="Times New Roman" w:hAnsi="inherit" w:cs="Times New Roman"/>
          <w:i/>
          <w:iCs/>
          <w:color w:val="111111"/>
          <w:sz w:val="23"/>
          <w:szCs w:val="23"/>
        </w:rPr>
        <w:t xml:space="preserve">Before and after the </w:t>
      </w:r>
      <w:proofErr w:type="spellStart"/>
      <w:r w:rsidRPr="0070263E">
        <w:rPr>
          <w:rFonts w:ascii="inherit" w:eastAsia="Times New Roman" w:hAnsi="inherit" w:cs="Times New Roman"/>
          <w:i/>
          <w:iCs/>
          <w:color w:val="111111"/>
          <w:sz w:val="23"/>
          <w:szCs w:val="23"/>
        </w:rPr>
        <w:t>make over</w:t>
      </w:r>
      <w:proofErr w:type="spellEnd"/>
      <w:r w:rsidRPr="0070263E">
        <w:rPr>
          <w:rFonts w:ascii="inherit" w:eastAsia="Times New Roman" w:hAnsi="inherit" w:cs="Times New Roman"/>
          <w:i/>
          <w:iCs/>
          <w:color w:val="111111"/>
          <w:sz w:val="23"/>
          <w:szCs w:val="23"/>
        </w:rPr>
        <w:t>.</w:t>
      </w:r>
    </w:p>
    <w:p w:rsid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sidRPr="0070263E">
        <w:rPr>
          <w:rFonts w:ascii="Century Schoolbook" w:eastAsia="Times New Roman" w:hAnsi="Century Schoolbook" w:cs="Times New Roman"/>
          <w:color w:val="111111"/>
          <w:sz w:val="29"/>
          <w:szCs w:val="29"/>
        </w:rPr>
        <w:t>Andy accepts this control as she receives validation for her efforts by Miranda and attempts to justify the shift by aligning elements of the organisation with her original authentic self </w:t>
      </w:r>
      <w:hyperlink r:id="rId18" w:tgtFrame="_blank" w:history="1">
        <w:r w:rsidRPr="0070263E">
          <w:rPr>
            <w:rFonts w:ascii="inherit" w:eastAsia="Times New Roman" w:hAnsi="inherit" w:cs="Times New Roman"/>
            <w:color w:val="000000"/>
            <w:sz w:val="29"/>
            <w:szCs w:val="29"/>
            <w:u w:val="single"/>
            <w:bdr w:val="none" w:sz="0" w:space="0" w:color="auto" w:frame="1"/>
          </w:rPr>
          <w:t>(Alvesson &amp; Willmott, 2002)</w:t>
        </w:r>
      </w:hyperlink>
      <w:r w:rsidRPr="0070263E">
        <w:rPr>
          <w:rFonts w:ascii="Century Schoolbook" w:eastAsia="Times New Roman" w:hAnsi="Century Schoolbook" w:cs="Times New Roman"/>
          <w:color w:val="111111"/>
          <w:sz w:val="29"/>
          <w:szCs w:val="29"/>
        </w:rPr>
        <w:t>. Defending her changing identity to her social group, downplaying the fashion influences and highlighting respectable literary contributors “</w:t>
      </w:r>
      <w:proofErr w:type="spellStart"/>
      <w:r w:rsidRPr="0070263E">
        <w:rPr>
          <w:rFonts w:ascii="Century Schoolbook" w:eastAsia="Times New Roman" w:hAnsi="Century Schoolbook" w:cs="Times New Roman"/>
          <w:color w:val="111111"/>
          <w:sz w:val="29"/>
          <w:szCs w:val="29"/>
        </w:rPr>
        <w:t>theres</w:t>
      </w:r>
      <w:proofErr w:type="spellEnd"/>
      <w:r w:rsidRPr="0070263E">
        <w:rPr>
          <w:rFonts w:ascii="Century Schoolbook" w:eastAsia="Times New Roman" w:hAnsi="Century Schoolbook" w:cs="Times New Roman"/>
          <w:color w:val="111111"/>
          <w:sz w:val="29"/>
          <w:szCs w:val="29"/>
        </w:rPr>
        <w:t xml:space="preserve"> more to Runway than fancy purses. Here’s an essay by Jay </w:t>
      </w:r>
      <w:proofErr w:type="spellStart"/>
      <w:r w:rsidRPr="0070263E">
        <w:rPr>
          <w:rFonts w:ascii="Century Schoolbook" w:eastAsia="Times New Roman" w:hAnsi="Century Schoolbook" w:cs="Times New Roman"/>
          <w:color w:val="111111"/>
          <w:sz w:val="29"/>
          <w:szCs w:val="29"/>
        </w:rPr>
        <w:t>McInerny</w:t>
      </w:r>
      <w:proofErr w:type="spellEnd"/>
      <w:r w:rsidRPr="0070263E">
        <w:rPr>
          <w:rFonts w:ascii="Century Schoolbook" w:eastAsia="Times New Roman" w:hAnsi="Century Schoolbook" w:cs="Times New Roman"/>
          <w:color w:val="111111"/>
          <w:sz w:val="29"/>
          <w:szCs w:val="29"/>
        </w:rPr>
        <w:t xml:space="preserve">, a piece by Joan Didion and an interview with Christiane </w:t>
      </w:r>
      <w:proofErr w:type="spellStart"/>
      <w:r w:rsidRPr="0070263E">
        <w:rPr>
          <w:rFonts w:ascii="Century Schoolbook" w:eastAsia="Times New Roman" w:hAnsi="Century Schoolbook" w:cs="Times New Roman"/>
          <w:color w:val="111111"/>
          <w:sz w:val="29"/>
          <w:szCs w:val="29"/>
        </w:rPr>
        <w:t>Amanpour</w:t>
      </w:r>
      <w:proofErr w:type="spellEnd"/>
      <w:r w:rsidRPr="0070263E">
        <w:rPr>
          <w:rFonts w:ascii="Century Schoolbook" w:eastAsia="Times New Roman" w:hAnsi="Century Schoolbook" w:cs="Times New Roman"/>
          <w:color w:val="111111"/>
          <w:sz w:val="29"/>
          <w:szCs w:val="29"/>
        </w:rPr>
        <w:t>” </w:t>
      </w:r>
      <w:hyperlink r:id="rId19" w:tgtFrame="_blank" w:history="1">
        <w:r w:rsidRPr="0070263E">
          <w:rPr>
            <w:rFonts w:ascii="inherit" w:eastAsia="Times New Roman" w:hAnsi="inherit" w:cs="Times New Roman"/>
            <w:color w:val="000000"/>
            <w:sz w:val="29"/>
            <w:szCs w:val="29"/>
            <w:u w:val="single"/>
            <w:bdr w:val="none" w:sz="0" w:space="0" w:color="auto" w:frame="1"/>
          </w:rPr>
          <w:t>(</w:t>
        </w:r>
        <w:proofErr w:type="spellStart"/>
        <w:r w:rsidRPr="0070263E">
          <w:rPr>
            <w:rFonts w:ascii="inherit" w:eastAsia="Times New Roman" w:hAnsi="inherit" w:cs="Times New Roman"/>
            <w:color w:val="000000"/>
            <w:sz w:val="29"/>
            <w:szCs w:val="29"/>
            <w:u w:val="single"/>
            <w:bdr w:val="none" w:sz="0" w:space="0" w:color="auto" w:frame="1"/>
          </w:rPr>
          <w:t>Finerman</w:t>
        </w:r>
        <w:proofErr w:type="spellEnd"/>
        <w:r w:rsidRPr="0070263E">
          <w:rPr>
            <w:rFonts w:ascii="inherit" w:eastAsia="Times New Roman" w:hAnsi="inherit" w:cs="Times New Roman"/>
            <w:color w:val="000000"/>
            <w:sz w:val="29"/>
            <w:szCs w:val="29"/>
            <w:u w:val="single"/>
            <w:bdr w:val="none" w:sz="0" w:space="0" w:color="auto" w:frame="1"/>
          </w:rPr>
          <w:t xml:space="preserve"> &amp; Frankel, 2006)</w:t>
        </w:r>
      </w:hyperlink>
      <w:r w:rsidRPr="0070263E">
        <w:rPr>
          <w:rFonts w:ascii="Century Schoolbook" w:eastAsia="Times New Roman" w:hAnsi="Century Schoolbook" w:cs="Times New Roman"/>
          <w:color w:val="111111"/>
          <w:sz w:val="29"/>
          <w:szCs w:val="29"/>
        </w:rPr>
        <w:t xml:space="preserve">. Andy however is unable to reconcile her professional and </w:t>
      </w:r>
      <w:proofErr w:type="spellStart"/>
      <w:r w:rsidRPr="0070263E">
        <w:rPr>
          <w:rFonts w:ascii="Century Schoolbook" w:eastAsia="Times New Roman" w:hAnsi="Century Schoolbook" w:cs="Times New Roman"/>
          <w:color w:val="111111"/>
          <w:sz w:val="29"/>
          <w:szCs w:val="29"/>
        </w:rPr>
        <w:t>self identities</w:t>
      </w:r>
      <w:proofErr w:type="spellEnd"/>
      <w:r w:rsidRPr="0070263E">
        <w:rPr>
          <w:rFonts w:ascii="Century Schoolbook" w:eastAsia="Times New Roman" w:hAnsi="Century Schoolbook" w:cs="Times New Roman"/>
          <w:color w:val="111111"/>
          <w:sz w:val="29"/>
          <w:szCs w:val="29"/>
        </w:rPr>
        <w:t xml:space="preserve">, as external social forces begin to override managerial identity regulation, with </w:t>
      </w:r>
      <w:proofErr w:type="spellStart"/>
      <w:r w:rsidRPr="0070263E">
        <w:rPr>
          <w:rFonts w:ascii="Century Schoolbook" w:eastAsia="Times New Roman" w:hAnsi="Century Schoolbook" w:cs="Times New Roman"/>
          <w:color w:val="111111"/>
          <w:sz w:val="29"/>
          <w:szCs w:val="29"/>
        </w:rPr>
        <w:t>Alversson</w:t>
      </w:r>
      <w:proofErr w:type="spellEnd"/>
      <w:r w:rsidRPr="0070263E">
        <w:rPr>
          <w:rFonts w:ascii="Century Schoolbook" w:eastAsia="Times New Roman" w:hAnsi="Century Schoolbook" w:cs="Times New Roman"/>
          <w:color w:val="111111"/>
          <w:sz w:val="29"/>
          <w:szCs w:val="29"/>
        </w:rPr>
        <w:t xml:space="preserve"> &amp; Willmott </w:t>
      </w:r>
      <w:hyperlink r:id="rId20" w:tgtFrame="_blank" w:history="1">
        <w:r w:rsidRPr="0070263E">
          <w:rPr>
            <w:rFonts w:ascii="inherit" w:eastAsia="Times New Roman" w:hAnsi="inherit" w:cs="Times New Roman"/>
            <w:color w:val="000000"/>
            <w:sz w:val="29"/>
            <w:szCs w:val="29"/>
            <w:u w:val="single"/>
            <w:bdr w:val="none" w:sz="0" w:space="0" w:color="auto" w:frame="1"/>
          </w:rPr>
          <w:t>(2002) </w:t>
        </w:r>
      </w:hyperlink>
      <w:r w:rsidRPr="0070263E">
        <w:rPr>
          <w:rFonts w:ascii="Century Schoolbook" w:eastAsia="Times New Roman" w:hAnsi="Century Schoolbook" w:cs="Times New Roman"/>
          <w:color w:val="111111"/>
          <w:sz w:val="29"/>
          <w:szCs w:val="29"/>
        </w:rPr>
        <w:t xml:space="preserve">pointing out that “identities are only partly or temporarily regulated by management-driven or other group-controlled processes of regulation”. Andy reaches this point towards the end of the film, where her sense of respect for Miranda results in her attempt to defend her from being unknowingly replaced as editor-in-chief, only to realise she herself wasn’t aware of all the dynamics at play. Miranda claims Andy reminds her of her younger-self, this inadvertently draws Andy’s attention to her current behaviour that conflicts with her pre-role identity and clarifies the aspects of her identity she does not wish to have </w:t>
      </w:r>
      <w:r w:rsidRPr="0070263E">
        <w:rPr>
          <w:rFonts w:ascii="Century Schoolbook" w:eastAsia="Times New Roman" w:hAnsi="Century Schoolbook" w:cs="Times New Roman"/>
          <w:color w:val="111111"/>
          <w:sz w:val="29"/>
          <w:szCs w:val="29"/>
        </w:rPr>
        <w:lastRenderedPageBreak/>
        <w:t xml:space="preserve">changed. As a </w:t>
      </w:r>
      <w:proofErr w:type="gramStart"/>
      <w:r w:rsidRPr="0070263E">
        <w:rPr>
          <w:rFonts w:ascii="Century Schoolbook" w:eastAsia="Times New Roman" w:hAnsi="Century Schoolbook" w:cs="Times New Roman"/>
          <w:color w:val="111111"/>
          <w:sz w:val="29"/>
          <w:szCs w:val="29"/>
        </w:rPr>
        <w:t>result</w:t>
      </w:r>
      <w:proofErr w:type="gramEnd"/>
      <w:r w:rsidRPr="0070263E">
        <w:rPr>
          <w:rFonts w:ascii="Century Schoolbook" w:eastAsia="Times New Roman" w:hAnsi="Century Schoolbook" w:cs="Times New Roman"/>
          <w:color w:val="111111"/>
          <w:sz w:val="29"/>
          <w:szCs w:val="29"/>
        </w:rPr>
        <w:t xml:space="preserve"> Andy responds in a way explained by </w:t>
      </w:r>
      <w:proofErr w:type="spellStart"/>
      <w:r w:rsidRPr="0070263E">
        <w:rPr>
          <w:rFonts w:ascii="Century Schoolbook" w:eastAsia="Times New Roman" w:hAnsi="Century Schoolbook" w:cs="Times New Roman"/>
          <w:color w:val="111111"/>
          <w:sz w:val="29"/>
          <w:szCs w:val="29"/>
        </w:rPr>
        <w:t>Ashforth</w:t>
      </w:r>
      <w:proofErr w:type="spellEnd"/>
      <w:r w:rsidRPr="0070263E">
        <w:rPr>
          <w:rFonts w:ascii="Century Schoolbook" w:eastAsia="Times New Roman" w:hAnsi="Century Schoolbook" w:cs="Times New Roman"/>
          <w:color w:val="111111"/>
          <w:sz w:val="29"/>
          <w:szCs w:val="29"/>
        </w:rPr>
        <w:t xml:space="preserve"> and </w:t>
      </w:r>
      <w:proofErr w:type="spellStart"/>
      <w:r w:rsidRPr="0070263E">
        <w:rPr>
          <w:rFonts w:ascii="Century Schoolbook" w:eastAsia="Times New Roman" w:hAnsi="Century Schoolbook" w:cs="Times New Roman"/>
          <w:color w:val="111111"/>
          <w:sz w:val="29"/>
          <w:szCs w:val="29"/>
        </w:rPr>
        <w:t>Mael</w:t>
      </w:r>
      <w:proofErr w:type="spellEnd"/>
      <w:r w:rsidRPr="0070263E">
        <w:rPr>
          <w:rFonts w:ascii="Century Schoolbook" w:eastAsia="Times New Roman" w:hAnsi="Century Schoolbook" w:cs="Times New Roman"/>
          <w:color w:val="111111"/>
          <w:sz w:val="29"/>
          <w:szCs w:val="29"/>
        </w:rPr>
        <w:t> </w:t>
      </w:r>
      <w:hyperlink r:id="rId21" w:tgtFrame="_blank" w:history="1">
        <w:r w:rsidRPr="0070263E">
          <w:rPr>
            <w:rFonts w:ascii="inherit" w:eastAsia="Times New Roman" w:hAnsi="inherit" w:cs="Times New Roman"/>
            <w:color w:val="000000"/>
            <w:sz w:val="29"/>
            <w:szCs w:val="29"/>
            <w:u w:val="single"/>
            <w:bdr w:val="none" w:sz="0" w:space="0" w:color="auto" w:frame="1"/>
          </w:rPr>
          <w:t>(1989) </w:t>
        </w:r>
      </w:hyperlink>
      <w:r w:rsidRPr="0070263E">
        <w:rPr>
          <w:rFonts w:ascii="Century Schoolbook" w:eastAsia="Times New Roman" w:hAnsi="Century Schoolbook" w:cs="Times New Roman"/>
          <w:color w:val="111111"/>
          <w:sz w:val="29"/>
          <w:szCs w:val="29"/>
        </w:rPr>
        <w:t xml:space="preserve">whereby conflict between her multiple identities </w:t>
      </w:r>
      <w:proofErr w:type="spellStart"/>
      <w:r w:rsidRPr="0070263E">
        <w:rPr>
          <w:rFonts w:ascii="Century Schoolbook" w:eastAsia="Times New Roman" w:hAnsi="Century Schoolbook" w:cs="Times New Roman"/>
          <w:color w:val="111111"/>
          <w:sz w:val="29"/>
          <w:szCs w:val="29"/>
        </w:rPr>
        <w:t>can not</w:t>
      </w:r>
      <w:proofErr w:type="spellEnd"/>
      <w:r w:rsidRPr="0070263E">
        <w:rPr>
          <w:rFonts w:ascii="Century Schoolbook" w:eastAsia="Times New Roman" w:hAnsi="Century Schoolbook" w:cs="Times New Roman"/>
          <w:color w:val="111111"/>
          <w:sz w:val="29"/>
          <w:szCs w:val="29"/>
        </w:rPr>
        <w:t xml:space="preserve"> be resolved so she seeks at separating them by dramatically leaving her </w:t>
      </w:r>
      <w:proofErr w:type="spellStart"/>
      <w:r w:rsidRPr="0070263E">
        <w:rPr>
          <w:rFonts w:ascii="Century Schoolbook" w:eastAsia="Times New Roman" w:hAnsi="Century Schoolbook" w:cs="Times New Roman"/>
          <w:color w:val="111111"/>
          <w:sz w:val="29"/>
          <w:szCs w:val="29"/>
        </w:rPr>
        <w:t>positon</w:t>
      </w:r>
      <w:proofErr w:type="spellEnd"/>
      <w:r w:rsidRPr="0070263E">
        <w:rPr>
          <w:rFonts w:ascii="Century Schoolbook" w:eastAsia="Times New Roman" w:hAnsi="Century Schoolbook" w:cs="Times New Roman"/>
          <w:color w:val="111111"/>
          <w:sz w:val="29"/>
          <w:szCs w:val="29"/>
        </w:rPr>
        <w:t xml:space="preserve"> at </w:t>
      </w:r>
      <w:r w:rsidRPr="0070263E">
        <w:rPr>
          <w:rFonts w:ascii="inherit" w:eastAsia="Times New Roman" w:hAnsi="inherit" w:cs="Times New Roman"/>
          <w:i/>
          <w:iCs/>
          <w:color w:val="111111"/>
          <w:sz w:val="29"/>
          <w:szCs w:val="29"/>
          <w:bdr w:val="none" w:sz="0" w:space="0" w:color="auto" w:frame="1"/>
        </w:rPr>
        <w:t>Runway</w:t>
      </w:r>
      <w:r w:rsidRPr="0070263E">
        <w:rPr>
          <w:rFonts w:ascii="Century Schoolbook" w:eastAsia="Times New Roman" w:hAnsi="Century Schoolbook" w:cs="Times New Roman"/>
          <w:color w:val="111111"/>
          <w:sz w:val="29"/>
          <w:szCs w:val="29"/>
        </w:rPr>
        <w:t>.</w:t>
      </w:r>
    </w:p>
    <w:p w:rsidR="0070263E" w:rsidRDefault="0070263E" w:rsidP="0070263E">
      <w:pPr>
        <w:shd w:val="clear" w:color="auto" w:fill="FFFFFF"/>
        <w:textAlignment w:val="baseline"/>
        <w:rPr>
          <w:rFonts w:ascii="Century Schoolbook" w:eastAsia="Times New Roman" w:hAnsi="Century Schoolbook" w:cs="Times New Roman"/>
          <w:color w:val="111111"/>
          <w:sz w:val="29"/>
          <w:szCs w:val="29"/>
        </w:rPr>
      </w:pPr>
    </w:p>
    <w:p w:rsidR="0070263E" w:rsidRPr="0070263E" w:rsidRDefault="0070263E" w:rsidP="0070263E">
      <w:pPr>
        <w:shd w:val="clear" w:color="auto" w:fill="FFFFFF"/>
        <w:textAlignment w:val="baseline"/>
        <w:rPr>
          <w:rFonts w:ascii="Century Schoolbook" w:eastAsia="Times New Roman" w:hAnsi="Century Schoolbook" w:cs="Times New Roman"/>
          <w:color w:val="FF0000"/>
          <w:sz w:val="29"/>
          <w:szCs w:val="29"/>
        </w:rPr>
      </w:pPr>
      <w:r w:rsidRPr="0070263E">
        <w:rPr>
          <w:rFonts w:ascii="Century Schoolbook" w:eastAsia="Times New Roman" w:hAnsi="Century Schoolbook" w:cs="Times New Roman"/>
          <w:color w:val="FF0000"/>
          <w:sz w:val="29"/>
          <w:szCs w:val="29"/>
          <w:highlight w:val="yellow"/>
        </w:rPr>
        <w:t>Identity, Aesthetics &amp; the Body</w:t>
      </w:r>
    </w:p>
    <w:p w:rsidR="0070263E" w:rsidRDefault="0070263E" w:rsidP="0070263E">
      <w:pPr>
        <w:shd w:val="clear" w:color="auto" w:fill="FFFFFF"/>
        <w:textAlignment w:val="baseline"/>
        <w:rPr>
          <w:rFonts w:ascii="Century Schoolbook" w:eastAsia="Times New Roman" w:hAnsi="Century Schoolbook" w:cs="Times New Roman"/>
          <w:color w:val="111111"/>
          <w:sz w:val="29"/>
          <w:szCs w:val="29"/>
        </w:rPr>
      </w:pPr>
    </w:p>
    <w:p w:rsidR="0070263E" w:rsidRDefault="0070263E" w:rsidP="0070263E">
      <w:pPr>
        <w:shd w:val="clear" w:color="auto" w:fill="FFFFFF"/>
        <w:textAlignment w:val="baseline"/>
        <w:rPr>
          <w:rFonts w:ascii="Century Schoolbook" w:eastAsia="Times New Roman" w:hAnsi="Century Schoolbook" w:cs="Times New Roman"/>
          <w:color w:val="111111"/>
          <w:sz w:val="29"/>
          <w:szCs w:val="29"/>
        </w:rPr>
      </w:pPr>
      <w:r>
        <w:rPr>
          <w:rFonts w:ascii="Century Schoolbook" w:eastAsia="Times New Roman" w:hAnsi="Century Schoolbook" w:cs="Times New Roman"/>
          <w:color w:val="111111"/>
          <w:sz w:val="29"/>
          <w:szCs w:val="29"/>
        </w:rPr>
        <w:t>THE WORKPLACE, POPULAR CULTURE AND THE RELATIONSHIP TO IDENTITY</w:t>
      </w:r>
    </w:p>
    <w:p w:rsidR="0070263E" w:rsidRDefault="0070263E" w:rsidP="0070263E">
      <w:pPr>
        <w:shd w:val="clear" w:color="auto" w:fill="FFFFFF"/>
        <w:textAlignment w:val="baseline"/>
        <w:rPr>
          <w:rFonts w:ascii="Century Schoolbook" w:eastAsia="Times New Roman" w:hAnsi="Century Schoolbook" w:cs="Times New Roman"/>
          <w:color w:val="111111"/>
          <w:sz w:val="29"/>
          <w:szCs w:val="29"/>
        </w:rPr>
      </w:pPr>
    </w:p>
    <w:p w:rsidR="0070263E" w:rsidRDefault="0070263E" w:rsidP="0070263E">
      <w:pPr>
        <w:pStyle w:val="Heading1"/>
        <w:spacing w:before="240" w:beforeAutospacing="0" w:after="192" w:afterAutospacing="0"/>
        <w:jc w:val="center"/>
        <w:textAlignment w:val="baseline"/>
        <w:rPr>
          <w:rFonts w:ascii="Century Schoolbook" w:hAnsi="Century Schoolbook"/>
          <w:caps/>
        </w:rPr>
      </w:pPr>
      <w:r>
        <w:rPr>
          <w:rFonts w:ascii="Century Schoolbook" w:hAnsi="Century Schoolbook"/>
          <w:caps/>
        </w:rPr>
        <w:t>PROTECTED: IDENTITY, AESTHETICS &amp; THE BODY</w:t>
      </w:r>
    </w:p>
    <w:p w:rsidR="0070263E" w:rsidRDefault="0070263E" w:rsidP="0070263E">
      <w:pPr>
        <w:pStyle w:val="NormalWeb"/>
        <w:shd w:val="clear" w:color="auto" w:fill="FFFFFF"/>
        <w:spacing w:before="0" w:beforeAutospacing="0" w:after="0" w:afterAutospacing="0"/>
        <w:textAlignment w:val="baseline"/>
        <w:rPr>
          <w:rFonts w:ascii="inherit" w:hAnsi="inherit"/>
          <w:color w:val="111111"/>
          <w:sz w:val="29"/>
          <w:szCs w:val="29"/>
        </w:rPr>
      </w:pPr>
      <w:r>
        <w:rPr>
          <w:rFonts w:ascii="inherit" w:hAnsi="inherit"/>
          <w:color w:val="111111"/>
          <w:sz w:val="29"/>
          <w:szCs w:val="29"/>
        </w:rPr>
        <w:t>Identity extends beyond behaviour, values and beliefs, also including how an individual expresses their self through physical characteristics and aesthetics. This extension of identity also encompasses the concept of the idealised worker with Trethewey </w:t>
      </w:r>
      <w:hyperlink r:id="rId22" w:tgtFrame="_blank" w:history="1">
        <w:r>
          <w:rPr>
            <w:rStyle w:val="Hyperlink"/>
            <w:rFonts w:ascii="inherit" w:hAnsi="inherit"/>
            <w:color w:val="000000"/>
            <w:sz w:val="29"/>
            <w:szCs w:val="29"/>
            <w:bdr w:val="none" w:sz="0" w:space="0" w:color="auto" w:frame="1"/>
          </w:rPr>
          <w:t>(1999) </w:t>
        </w:r>
      </w:hyperlink>
      <w:r>
        <w:rPr>
          <w:rFonts w:ascii="inherit" w:hAnsi="inherit"/>
          <w:color w:val="111111"/>
          <w:sz w:val="29"/>
          <w:szCs w:val="29"/>
        </w:rPr>
        <w:t>positing that women’s professional self and her professional advancement is greatly impacted by the ways in which she displays and presents herself. Given the ‘</w:t>
      </w:r>
      <w:proofErr w:type="spellStart"/>
      <w:r>
        <w:rPr>
          <w:rFonts w:ascii="inherit" w:hAnsi="inherit"/>
          <w:color w:val="111111"/>
          <w:sz w:val="29"/>
          <w:szCs w:val="29"/>
        </w:rPr>
        <w:t>chic</w:t>
      </w:r>
      <w:proofErr w:type="spellEnd"/>
      <w:r>
        <w:rPr>
          <w:rFonts w:ascii="inherit" w:hAnsi="inherit"/>
          <w:color w:val="111111"/>
          <w:sz w:val="29"/>
          <w:szCs w:val="29"/>
        </w:rPr>
        <w:t xml:space="preserve"> flick’ category </w:t>
      </w:r>
      <w:r>
        <w:rPr>
          <w:rStyle w:val="Emphasis"/>
          <w:rFonts w:ascii="inherit" w:hAnsi="inherit"/>
          <w:color w:val="111111"/>
          <w:sz w:val="29"/>
          <w:szCs w:val="29"/>
          <w:bdr w:val="none" w:sz="0" w:space="0" w:color="auto" w:frame="1"/>
        </w:rPr>
        <w:t>The Devil Wears Prada </w:t>
      </w:r>
      <w:r>
        <w:rPr>
          <w:rFonts w:ascii="inherit" w:hAnsi="inherit"/>
          <w:color w:val="111111"/>
          <w:sz w:val="29"/>
          <w:szCs w:val="29"/>
        </w:rPr>
        <w:t>falls into and the prominence of women within the fictional organisation of </w:t>
      </w:r>
      <w:r>
        <w:rPr>
          <w:rStyle w:val="Emphasis"/>
          <w:rFonts w:ascii="inherit" w:hAnsi="inherit"/>
          <w:color w:val="111111"/>
          <w:sz w:val="29"/>
          <w:szCs w:val="29"/>
          <w:bdr w:val="none" w:sz="0" w:space="0" w:color="auto" w:frame="1"/>
        </w:rPr>
        <w:t>Runway </w:t>
      </w:r>
      <w:r>
        <w:rPr>
          <w:rFonts w:ascii="inherit" w:hAnsi="inherit"/>
          <w:color w:val="111111"/>
          <w:sz w:val="29"/>
          <w:szCs w:val="29"/>
        </w:rPr>
        <w:t>the discussion on identity, aesthetics and the body within the workplace will be primarily focussed from the perspective of women </w:t>
      </w:r>
      <w:hyperlink r:id="rId23" w:tgtFrame="_blank" w:history="1">
        <w:r>
          <w:rPr>
            <w:rStyle w:val="Hyperlink"/>
            <w:rFonts w:ascii="inherit" w:hAnsi="inherit"/>
            <w:color w:val="000000"/>
            <w:sz w:val="29"/>
            <w:szCs w:val="29"/>
            <w:bdr w:val="none" w:sz="0" w:space="0" w:color="auto" w:frame="1"/>
          </w:rPr>
          <w:t>(Barger, 2011)</w:t>
        </w:r>
      </w:hyperlink>
      <w:r>
        <w:rPr>
          <w:rFonts w:ascii="inherit" w:hAnsi="inherit"/>
          <w:color w:val="111111"/>
          <w:sz w:val="29"/>
          <w:szCs w:val="29"/>
        </w:rPr>
        <w:t>.</w:t>
      </w:r>
    </w:p>
    <w:p w:rsidR="0070263E" w:rsidRDefault="0070263E" w:rsidP="0070263E">
      <w:pPr>
        <w:pStyle w:val="NormalWeb"/>
        <w:shd w:val="clear" w:color="auto" w:fill="FFFFFF"/>
        <w:spacing w:before="0" w:beforeAutospacing="0" w:after="0" w:afterAutospacing="0"/>
        <w:textAlignment w:val="baseline"/>
        <w:rPr>
          <w:rFonts w:ascii="inherit" w:hAnsi="inherit"/>
          <w:color w:val="111111"/>
          <w:sz w:val="29"/>
          <w:szCs w:val="29"/>
        </w:rPr>
      </w:pPr>
      <w:r>
        <w:rPr>
          <w:rFonts w:ascii="inherit" w:hAnsi="inherit"/>
          <w:color w:val="111111"/>
          <w:sz w:val="29"/>
          <w:szCs w:val="29"/>
        </w:rPr>
        <w:t>The idealised worker’s professional identity not only displays character traits conducive with organisational objectives but also physically embodies the way in which the organisation perceives the ideal employee should look like (</w:t>
      </w:r>
      <w:proofErr w:type="spellStart"/>
      <w:r>
        <w:rPr>
          <w:rFonts w:ascii="inherit" w:hAnsi="inherit"/>
          <w:color w:val="111111"/>
          <w:sz w:val="29"/>
          <w:szCs w:val="29"/>
        </w:rPr>
        <w:fldChar w:fldCharType="begin"/>
      </w:r>
      <w:r>
        <w:rPr>
          <w:rFonts w:ascii="inherit" w:hAnsi="inherit"/>
          <w:color w:val="111111"/>
          <w:sz w:val="29"/>
          <w:szCs w:val="29"/>
        </w:rPr>
        <w:instrText xml:space="preserve"> HYPERLINK "https://workandpopculture.wordpress.com/references/" \t "_blank" </w:instrText>
      </w:r>
      <w:r>
        <w:rPr>
          <w:rFonts w:ascii="inherit" w:hAnsi="inherit"/>
          <w:color w:val="111111"/>
          <w:sz w:val="29"/>
          <w:szCs w:val="29"/>
        </w:rPr>
        <w:fldChar w:fldCharType="separate"/>
      </w:r>
      <w:r>
        <w:rPr>
          <w:rStyle w:val="Hyperlink"/>
          <w:rFonts w:ascii="inherit" w:hAnsi="inherit"/>
          <w:color w:val="000000"/>
          <w:sz w:val="29"/>
          <w:szCs w:val="29"/>
          <w:bdr w:val="none" w:sz="0" w:space="0" w:color="auto" w:frame="1"/>
        </w:rPr>
        <w:t>Witz</w:t>
      </w:r>
      <w:proofErr w:type="spellEnd"/>
      <w:r>
        <w:rPr>
          <w:rStyle w:val="Hyperlink"/>
          <w:rFonts w:ascii="inherit" w:hAnsi="inherit"/>
          <w:color w:val="000000"/>
          <w:sz w:val="29"/>
          <w:szCs w:val="29"/>
          <w:bdr w:val="none" w:sz="0" w:space="0" w:color="auto" w:frame="1"/>
        </w:rPr>
        <w:t xml:space="preserve">, Warhurst &amp; </w:t>
      </w:r>
      <w:proofErr w:type="spellStart"/>
      <w:r>
        <w:rPr>
          <w:rStyle w:val="Hyperlink"/>
          <w:rFonts w:ascii="inherit" w:hAnsi="inherit"/>
          <w:color w:val="000000"/>
          <w:sz w:val="29"/>
          <w:szCs w:val="29"/>
          <w:bdr w:val="none" w:sz="0" w:space="0" w:color="auto" w:frame="1"/>
        </w:rPr>
        <w:t>Nickson</w:t>
      </w:r>
      <w:proofErr w:type="spellEnd"/>
      <w:r>
        <w:rPr>
          <w:rStyle w:val="Hyperlink"/>
          <w:rFonts w:ascii="inherit" w:hAnsi="inherit"/>
          <w:color w:val="000000"/>
          <w:sz w:val="29"/>
          <w:szCs w:val="29"/>
          <w:bdr w:val="none" w:sz="0" w:space="0" w:color="auto" w:frame="1"/>
        </w:rPr>
        <w:t>, 2003; Trethewey, 1999)</w:t>
      </w:r>
      <w:r>
        <w:rPr>
          <w:rFonts w:ascii="inherit" w:hAnsi="inherit"/>
          <w:color w:val="111111"/>
          <w:sz w:val="29"/>
          <w:szCs w:val="29"/>
        </w:rPr>
        <w:fldChar w:fldCharType="end"/>
      </w:r>
      <w:r>
        <w:rPr>
          <w:rFonts w:ascii="inherit" w:hAnsi="inherit"/>
          <w:color w:val="111111"/>
          <w:sz w:val="29"/>
          <w:szCs w:val="29"/>
        </w:rPr>
        <w:t xml:space="preserve">. This may include areas as broad as an acceptable dress code, down to items as specific as how a person fulfilling a role should wear their hair. This is demonstrated in the case study by </w:t>
      </w:r>
      <w:proofErr w:type="spellStart"/>
      <w:r>
        <w:rPr>
          <w:rFonts w:ascii="inherit" w:hAnsi="inherit"/>
          <w:color w:val="111111"/>
          <w:sz w:val="29"/>
          <w:szCs w:val="29"/>
        </w:rPr>
        <w:t>Witz</w:t>
      </w:r>
      <w:proofErr w:type="spellEnd"/>
      <w:r>
        <w:rPr>
          <w:rFonts w:ascii="inherit" w:hAnsi="inherit"/>
          <w:color w:val="111111"/>
          <w:sz w:val="29"/>
          <w:szCs w:val="29"/>
        </w:rPr>
        <w:t xml:space="preserve">, Warhurst &amp; </w:t>
      </w:r>
      <w:proofErr w:type="spellStart"/>
      <w:r>
        <w:rPr>
          <w:rFonts w:ascii="inherit" w:hAnsi="inherit"/>
          <w:color w:val="111111"/>
          <w:sz w:val="29"/>
          <w:szCs w:val="29"/>
        </w:rPr>
        <w:t>Nickson</w:t>
      </w:r>
      <w:proofErr w:type="spellEnd"/>
      <w:r>
        <w:rPr>
          <w:rFonts w:ascii="inherit" w:hAnsi="inherit"/>
          <w:color w:val="111111"/>
          <w:sz w:val="29"/>
          <w:szCs w:val="29"/>
        </w:rPr>
        <w:t> </w:t>
      </w:r>
      <w:hyperlink r:id="rId24" w:tgtFrame="_blank" w:history="1">
        <w:r>
          <w:rPr>
            <w:rStyle w:val="Hyperlink"/>
            <w:rFonts w:ascii="inherit" w:hAnsi="inherit"/>
            <w:color w:val="000000"/>
            <w:sz w:val="29"/>
            <w:szCs w:val="29"/>
            <w:bdr w:val="none" w:sz="0" w:space="0" w:color="auto" w:frame="1"/>
          </w:rPr>
          <w:t>(2003)</w:t>
        </w:r>
      </w:hyperlink>
      <w:r>
        <w:rPr>
          <w:rFonts w:ascii="inherit" w:hAnsi="inherit"/>
          <w:color w:val="111111"/>
          <w:sz w:val="29"/>
          <w:szCs w:val="29"/>
        </w:rPr>
        <w:t>whereby an employee in the retail sector discusses how any change to an employee’s hairstyle should first be discussed with the manager to evaluate if it fits within their brand image. In many cases these aesthetic ideals do not have a direct correlation with the ability to fulfil the role, such as when an employee is required to follow a dress code due to health or safety issues.  But because the organisation wishes an employee to personify a visual representation of an organisations identity and culture </w:t>
      </w:r>
      <w:hyperlink r:id="rId25" w:tgtFrame="_blank" w:history="1">
        <w:r>
          <w:rPr>
            <w:rStyle w:val="Hyperlink"/>
            <w:rFonts w:ascii="inherit" w:hAnsi="inherit"/>
            <w:color w:val="000000"/>
            <w:sz w:val="29"/>
            <w:szCs w:val="29"/>
            <w:bdr w:val="none" w:sz="0" w:space="0" w:color="auto" w:frame="1"/>
          </w:rPr>
          <w:t>(Warhurst et al., 2000)</w:t>
        </w:r>
      </w:hyperlink>
      <w:r>
        <w:rPr>
          <w:rFonts w:ascii="inherit" w:hAnsi="inherit"/>
          <w:color w:val="111111"/>
          <w:sz w:val="29"/>
          <w:szCs w:val="29"/>
        </w:rPr>
        <w:t>.</w:t>
      </w:r>
    </w:p>
    <w:p w:rsidR="0070263E" w:rsidRDefault="0070263E" w:rsidP="0070263E">
      <w:pPr>
        <w:pStyle w:val="NormalWeb"/>
        <w:shd w:val="clear" w:color="auto" w:fill="FFFFFF"/>
        <w:spacing w:before="0" w:beforeAutospacing="0" w:after="0" w:afterAutospacing="0"/>
        <w:textAlignment w:val="baseline"/>
        <w:rPr>
          <w:rFonts w:ascii="inherit" w:hAnsi="inherit"/>
          <w:color w:val="111111"/>
          <w:sz w:val="29"/>
          <w:szCs w:val="29"/>
        </w:rPr>
      </w:pPr>
      <w:r>
        <w:rPr>
          <w:rFonts w:ascii="inherit" w:hAnsi="inherit"/>
          <w:color w:val="111111"/>
          <w:sz w:val="29"/>
          <w:szCs w:val="29"/>
        </w:rPr>
        <w:lastRenderedPageBreak/>
        <w:t xml:space="preserve">According to Bourdieu, as discussed in </w:t>
      </w:r>
      <w:proofErr w:type="spellStart"/>
      <w:r>
        <w:rPr>
          <w:rFonts w:ascii="inherit" w:hAnsi="inherit"/>
          <w:color w:val="111111"/>
          <w:sz w:val="29"/>
          <w:szCs w:val="29"/>
        </w:rPr>
        <w:t>Witz</w:t>
      </w:r>
      <w:proofErr w:type="spellEnd"/>
      <w:r>
        <w:rPr>
          <w:rFonts w:ascii="inherit" w:hAnsi="inherit"/>
          <w:color w:val="111111"/>
          <w:sz w:val="29"/>
          <w:szCs w:val="29"/>
        </w:rPr>
        <w:t xml:space="preserve">, Warhurst &amp; </w:t>
      </w:r>
      <w:proofErr w:type="spellStart"/>
      <w:r>
        <w:rPr>
          <w:rFonts w:ascii="inherit" w:hAnsi="inherit"/>
          <w:color w:val="111111"/>
          <w:sz w:val="29"/>
          <w:szCs w:val="29"/>
        </w:rPr>
        <w:t>Nickson</w:t>
      </w:r>
      <w:proofErr w:type="spellEnd"/>
      <w:r>
        <w:rPr>
          <w:rFonts w:ascii="inherit" w:hAnsi="inherit"/>
          <w:color w:val="111111"/>
          <w:sz w:val="29"/>
          <w:szCs w:val="29"/>
        </w:rPr>
        <w:t> </w:t>
      </w:r>
      <w:hyperlink r:id="rId26" w:tgtFrame="_blank" w:history="1">
        <w:r>
          <w:rPr>
            <w:rStyle w:val="Hyperlink"/>
            <w:rFonts w:ascii="inherit" w:hAnsi="inherit"/>
            <w:color w:val="000000"/>
            <w:sz w:val="29"/>
            <w:szCs w:val="29"/>
            <w:bdr w:val="none" w:sz="0" w:space="0" w:color="auto" w:frame="1"/>
          </w:rPr>
          <w:t>(2003)</w:t>
        </w:r>
      </w:hyperlink>
      <w:r>
        <w:rPr>
          <w:rFonts w:ascii="inherit" w:hAnsi="inherit"/>
          <w:color w:val="111111"/>
          <w:sz w:val="29"/>
          <w:szCs w:val="29"/>
        </w:rPr>
        <w:t xml:space="preserve">, aesthetic labour </w:t>
      </w:r>
      <w:proofErr w:type="spellStart"/>
      <w:r>
        <w:rPr>
          <w:rFonts w:ascii="inherit" w:hAnsi="inherit"/>
          <w:color w:val="111111"/>
          <w:sz w:val="29"/>
          <w:szCs w:val="29"/>
        </w:rPr>
        <w:t>can not</w:t>
      </w:r>
      <w:proofErr w:type="spellEnd"/>
      <w:r>
        <w:rPr>
          <w:rFonts w:ascii="inherit" w:hAnsi="inherit"/>
          <w:color w:val="111111"/>
          <w:sz w:val="29"/>
          <w:szCs w:val="29"/>
        </w:rPr>
        <w:t xml:space="preserve"> be reduced to just the physical appearance as it is a material representation of social constructs and identity. Therefore, measures of managerial control over aesthetics and the body also impact aspects of an employee’s developed self-identity. This is displayed within </w:t>
      </w:r>
      <w:r>
        <w:rPr>
          <w:rStyle w:val="Emphasis"/>
          <w:rFonts w:ascii="inherit" w:hAnsi="inherit"/>
          <w:color w:val="111111"/>
          <w:sz w:val="29"/>
          <w:szCs w:val="29"/>
          <w:bdr w:val="none" w:sz="0" w:space="0" w:color="auto" w:frame="1"/>
        </w:rPr>
        <w:t>The Devil Wears Prada </w:t>
      </w:r>
      <w:r>
        <w:rPr>
          <w:rFonts w:ascii="inherit" w:hAnsi="inherit"/>
          <w:color w:val="111111"/>
          <w:sz w:val="29"/>
          <w:szCs w:val="29"/>
        </w:rPr>
        <w:t>where the protagonist Andy undergoes both a physical evolution of her professional identity, which in turn shapes her self-identity and influences the way she interacts within her non-work social sphere </w:t>
      </w:r>
      <w:hyperlink r:id="rId27"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w:t>
        </w:r>
      </w:hyperlink>
      <w:r>
        <w:rPr>
          <w:rFonts w:ascii="inherit" w:hAnsi="inherit"/>
          <w:color w:val="111111"/>
          <w:sz w:val="29"/>
          <w:szCs w:val="29"/>
        </w:rPr>
        <w:t>.  Barger </w:t>
      </w:r>
      <w:hyperlink r:id="rId28" w:tgtFrame="_blank" w:history="1">
        <w:r>
          <w:rPr>
            <w:rStyle w:val="Hyperlink"/>
            <w:rFonts w:ascii="inherit" w:hAnsi="inherit"/>
            <w:color w:val="000000"/>
            <w:sz w:val="29"/>
            <w:szCs w:val="29"/>
            <w:bdr w:val="none" w:sz="0" w:space="0" w:color="auto" w:frame="1"/>
          </w:rPr>
          <w:t>(2011, p.347)</w:t>
        </w:r>
      </w:hyperlink>
      <w:r>
        <w:rPr>
          <w:rFonts w:ascii="inherit" w:hAnsi="inherit"/>
          <w:color w:val="111111"/>
          <w:sz w:val="29"/>
          <w:szCs w:val="29"/>
        </w:rPr>
        <w:t> argues that Andy’s “professional and social power increases as she is willing to access the fashionable goods around her”. </w:t>
      </w:r>
      <w:bookmarkStart w:id="0" w:name="_GoBack"/>
      <w:bookmarkEnd w:id="0"/>
      <w:r w:rsidR="009469AA">
        <w:rPr>
          <w:rFonts w:ascii="inherit" w:hAnsi="inherit"/>
          <w:color w:val="111111"/>
          <w:sz w:val="29"/>
          <w:szCs w:val="29"/>
        </w:rPr>
        <w:t xml:space="preserve"> </w:t>
      </w:r>
      <w:r>
        <w:rPr>
          <w:rFonts w:ascii="inherit" w:hAnsi="inherit"/>
          <w:color w:val="111111"/>
          <w:sz w:val="29"/>
          <w:szCs w:val="29"/>
        </w:rPr>
        <w:t>This suggests that as Andy becomes willing to embody the fashionable image </w:t>
      </w:r>
      <w:r>
        <w:rPr>
          <w:rStyle w:val="Emphasis"/>
          <w:rFonts w:ascii="inherit" w:hAnsi="inherit"/>
          <w:color w:val="111111"/>
          <w:sz w:val="29"/>
          <w:szCs w:val="29"/>
          <w:bdr w:val="none" w:sz="0" w:space="0" w:color="auto" w:frame="1"/>
        </w:rPr>
        <w:t>Runway </w:t>
      </w:r>
      <w:r>
        <w:rPr>
          <w:rFonts w:ascii="inherit" w:hAnsi="inherit"/>
          <w:color w:val="111111"/>
          <w:sz w:val="29"/>
          <w:szCs w:val="29"/>
        </w:rPr>
        <w:t>obviously highly values, she is seen to develop beneficial skills and a better fit for her role and therefore become a more valued and effective employee </w:t>
      </w:r>
      <w:hyperlink r:id="rId29"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Witz</w:t>
        </w:r>
        <w:proofErr w:type="spellEnd"/>
        <w:r>
          <w:rPr>
            <w:rStyle w:val="Hyperlink"/>
            <w:rFonts w:ascii="inherit" w:hAnsi="inherit"/>
            <w:color w:val="000000"/>
            <w:sz w:val="29"/>
            <w:szCs w:val="29"/>
            <w:bdr w:val="none" w:sz="0" w:space="0" w:color="auto" w:frame="1"/>
          </w:rPr>
          <w:t xml:space="preserve">, Warhurst &amp; </w:t>
        </w:r>
        <w:proofErr w:type="spellStart"/>
        <w:r>
          <w:rPr>
            <w:rStyle w:val="Hyperlink"/>
            <w:rFonts w:ascii="inherit" w:hAnsi="inherit"/>
            <w:color w:val="000000"/>
            <w:sz w:val="29"/>
            <w:szCs w:val="29"/>
            <w:bdr w:val="none" w:sz="0" w:space="0" w:color="auto" w:frame="1"/>
          </w:rPr>
          <w:t>Nickson</w:t>
        </w:r>
        <w:proofErr w:type="spellEnd"/>
        <w:r>
          <w:rPr>
            <w:rStyle w:val="Hyperlink"/>
            <w:rFonts w:ascii="inherit" w:hAnsi="inherit"/>
            <w:color w:val="000000"/>
            <w:sz w:val="29"/>
            <w:szCs w:val="29"/>
            <w:bdr w:val="none" w:sz="0" w:space="0" w:color="auto" w:frame="1"/>
          </w:rPr>
          <w:t>, 2003)</w:t>
        </w:r>
      </w:hyperlink>
      <w:r>
        <w:rPr>
          <w:rFonts w:ascii="inherit" w:hAnsi="inherit"/>
          <w:color w:val="111111"/>
          <w:sz w:val="29"/>
          <w:szCs w:val="29"/>
        </w:rPr>
        <w:t>. Although her success increases at work, the more she aligns with the idealised identity connected to her role the more trouble she has in her personal life, finding increased conflict with her developing identity and her social roles external to the office </w:t>
      </w:r>
      <w:hyperlink r:id="rId30" w:tgtFrame="_blank" w:history="1">
        <w:r>
          <w:rPr>
            <w:rStyle w:val="Hyperlink"/>
            <w:rFonts w:ascii="inherit" w:hAnsi="inherit"/>
            <w:color w:val="000000"/>
            <w:sz w:val="29"/>
            <w:szCs w:val="29"/>
            <w:bdr w:val="none" w:sz="0" w:space="0" w:color="auto" w:frame="1"/>
          </w:rPr>
          <w:t>(Barger, 2011)</w:t>
        </w:r>
      </w:hyperlink>
      <w:r>
        <w:rPr>
          <w:rFonts w:ascii="inherit" w:hAnsi="inherit"/>
          <w:color w:val="111111"/>
          <w:sz w:val="29"/>
          <w:szCs w:val="29"/>
        </w:rPr>
        <w:t>. Andy attempts to separate the aesthetic changes she has made from her internal personal identity, attempting to convince her partner that she is the “same Andy, different clothes”, to which he reply’s “I like the old clothes” alluding it is more than clothes that have changed </w:t>
      </w:r>
      <w:hyperlink r:id="rId31"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IMBd</w:t>
        </w:r>
        <w:proofErr w:type="spellEnd"/>
        <w:r>
          <w:rPr>
            <w:rStyle w:val="Hyperlink"/>
            <w:rFonts w:ascii="inherit" w:hAnsi="inherit"/>
            <w:color w:val="000000"/>
            <w:sz w:val="29"/>
            <w:szCs w:val="29"/>
            <w:bdr w:val="none" w:sz="0" w:space="0" w:color="auto" w:frame="1"/>
          </w:rPr>
          <w:t>, 2016)</w:t>
        </w:r>
      </w:hyperlink>
      <w:r>
        <w:rPr>
          <w:rFonts w:ascii="inherit" w:hAnsi="inherit"/>
          <w:color w:val="111111"/>
          <w:sz w:val="29"/>
          <w:szCs w:val="29"/>
        </w:rPr>
        <w:t>.</w:t>
      </w:r>
    </w:p>
    <w:p w:rsidR="0070263E" w:rsidRDefault="0070263E" w:rsidP="0070263E">
      <w:pPr>
        <w:pStyle w:val="NormalWeb"/>
        <w:shd w:val="clear" w:color="auto" w:fill="FFFFFF"/>
        <w:spacing w:before="0" w:beforeAutospacing="0" w:after="0" w:afterAutospacing="0"/>
        <w:textAlignment w:val="baseline"/>
        <w:rPr>
          <w:rFonts w:ascii="inherit" w:hAnsi="inherit"/>
          <w:color w:val="111111"/>
          <w:sz w:val="29"/>
          <w:szCs w:val="29"/>
        </w:rPr>
      </w:pPr>
      <w:r>
        <w:rPr>
          <w:rFonts w:ascii="inherit" w:hAnsi="inherit"/>
          <w:color w:val="111111"/>
          <w:sz w:val="29"/>
          <w:szCs w:val="29"/>
        </w:rPr>
        <w:t>In contrast to Andy who appears to experience high levels of conflict between her idealised professional image and her self-identity, the character of Miranda uses her physical image to support and reinforce her desired professional-identity. Miranda is a woman at the top of the hierarchy, embodying the aesthetic ideals of </w:t>
      </w:r>
      <w:r>
        <w:rPr>
          <w:rStyle w:val="Emphasis"/>
          <w:rFonts w:ascii="inherit" w:hAnsi="inherit"/>
          <w:color w:val="111111"/>
          <w:sz w:val="29"/>
          <w:szCs w:val="29"/>
          <w:bdr w:val="none" w:sz="0" w:space="0" w:color="auto" w:frame="1"/>
        </w:rPr>
        <w:t>Runway </w:t>
      </w:r>
      <w:r>
        <w:rPr>
          <w:rFonts w:ascii="inherit" w:hAnsi="inherit"/>
          <w:color w:val="111111"/>
          <w:sz w:val="29"/>
          <w:szCs w:val="29"/>
        </w:rPr>
        <w:t>by being impeccably fashionable in a multitude of designer goods </w:t>
      </w:r>
      <w:hyperlink r:id="rId32"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w:t>
        </w:r>
      </w:hyperlink>
      <w:r>
        <w:rPr>
          <w:rFonts w:ascii="inherit" w:hAnsi="inherit"/>
          <w:color w:val="111111"/>
          <w:sz w:val="29"/>
          <w:szCs w:val="29"/>
        </w:rPr>
        <w:t>. But at the same time her role requires her to be more than just fashionable, she also expresses her position of power through her image. It could be argued that Miranda maintains a level of fear and respect as a boss by adopting traditional traits associated with hegemonic masculinity, functioning in a female orientated workplace while at the same time according to Barger </w:t>
      </w:r>
      <w:hyperlink r:id="rId33" w:tgtFrame="_blank" w:history="1">
        <w:r>
          <w:rPr>
            <w:rStyle w:val="Hyperlink"/>
            <w:rFonts w:ascii="inherit" w:hAnsi="inherit"/>
            <w:color w:val="000000"/>
            <w:sz w:val="29"/>
            <w:szCs w:val="29"/>
            <w:bdr w:val="none" w:sz="0" w:space="0" w:color="auto" w:frame="1"/>
          </w:rPr>
          <w:t>(2001, p.346) </w:t>
        </w:r>
      </w:hyperlink>
      <w:r>
        <w:rPr>
          <w:rFonts w:ascii="inherit" w:hAnsi="inherit"/>
          <w:color w:val="111111"/>
          <w:sz w:val="29"/>
          <w:szCs w:val="29"/>
        </w:rPr>
        <w:t>remaining “a demeaning, demanding and unresponsive boss” </w:t>
      </w:r>
      <w:hyperlink r:id="rId34" w:tgtFrame="_blank" w:history="1">
        <w:r>
          <w:rPr>
            <w:rStyle w:val="Hyperlink"/>
            <w:rFonts w:ascii="inherit" w:hAnsi="inherit"/>
            <w:color w:val="000000"/>
            <w:sz w:val="29"/>
            <w:szCs w:val="29"/>
            <w:bdr w:val="none" w:sz="0" w:space="0" w:color="auto" w:frame="1"/>
          </w:rPr>
          <w:t>(Acker, 1990; O’Sullivan &amp; Sheridan, 1999)</w:t>
        </w:r>
      </w:hyperlink>
      <w:r>
        <w:rPr>
          <w:rFonts w:ascii="inherit" w:hAnsi="inherit"/>
          <w:color w:val="111111"/>
          <w:sz w:val="29"/>
          <w:szCs w:val="29"/>
        </w:rPr>
        <w:t>. </w:t>
      </w:r>
      <w:r w:rsidR="009469AA">
        <w:rPr>
          <w:rFonts w:ascii="inherit" w:hAnsi="inherit"/>
          <w:color w:val="111111"/>
          <w:sz w:val="29"/>
          <w:szCs w:val="29"/>
        </w:rPr>
        <w:t xml:space="preserve"> </w:t>
      </w:r>
      <w:r>
        <w:rPr>
          <w:rFonts w:ascii="inherit" w:hAnsi="inherit"/>
          <w:color w:val="111111"/>
          <w:sz w:val="29"/>
          <w:szCs w:val="29"/>
        </w:rPr>
        <w:t xml:space="preserve">She reproduces and supports this image through her appearance, choosing a short masculine hairstyle and consistently dressing in a conservative, structured style, choosing muted colours and cuts that are reflective of masculine corporate culture, even though she </w:t>
      </w:r>
      <w:r>
        <w:rPr>
          <w:rFonts w:ascii="inherit" w:hAnsi="inherit"/>
          <w:color w:val="111111"/>
          <w:sz w:val="29"/>
          <w:szCs w:val="29"/>
        </w:rPr>
        <w:lastRenderedPageBreak/>
        <w:t>belongs to a progressive fashion centred organisation </w:t>
      </w:r>
      <w:hyperlink r:id="rId35" w:tgtFrame="_blank" w:history="1">
        <w:r>
          <w:rPr>
            <w:rStyle w:val="Hyperlink"/>
            <w:rFonts w:ascii="inherit" w:hAnsi="inherit"/>
            <w:color w:val="000000"/>
            <w:sz w:val="29"/>
            <w:szCs w:val="29"/>
            <w:bdr w:val="none" w:sz="0" w:space="0" w:color="auto" w:frame="1"/>
          </w:rPr>
          <w:t xml:space="preserve">(O’Sullivan &amp; Sheridan, 1999; </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w:t>
        </w:r>
      </w:hyperlink>
      <w:r>
        <w:rPr>
          <w:rFonts w:ascii="inherit" w:hAnsi="inherit"/>
          <w:color w:val="111111"/>
          <w:sz w:val="29"/>
          <w:szCs w:val="29"/>
        </w:rPr>
        <w:t>. It could be suggested that Miranda’s portrayal in </w:t>
      </w:r>
      <w:r>
        <w:rPr>
          <w:rStyle w:val="Emphasis"/>
          <w:rFonts w:ascii="inherit" w:hAnsi="inherit"/>
          <w:color w:val="111111"/>
          <w:sz w:val="29"/>
          <w:szCs w:val="29"/>
          <w:bdr w:val="none" w:sz="0" w:space="0" w:color="auto" w:frame="1"/>
        </w:rPr>
        <w:t>The Devil Wears Prada </w:t>
      </w:r>
      <w:r>
        <w:rPr>
          <w:rFonts w:ascii="inherit" w:hAnsi="inherit"/>
          <w:color w:val="111111"/>
          <w:sz w:val="29"/>
          <w:szCs w:val="29"/>
        </w:rPr>
        <w:t>is a popular culture reproduction of how society in general view women in her position within both fictional and non-fictional organisations.  With both Trethewey </w:t>
      </w:r>
      <w:hyperlink r:id="rId36" w:tgtFrame="_blank" w:history="1">
        <w:r>
          <w:rPr>
            <w:rStyle w:val="Hyperlink"/>
            <w:rFonts w:ascii="inherit" w:hAnsi="inherit"/>
            <w:color w:val="000000"/>
            <w:sz w:val="29"/>
            <w:szCs w:val="29"/>
            <w:bdr w:val="none" w:sz="0" w:space="0" w:color="auto" w:frame="1"/>
          </w:rPr>
          <w:t>(1999)</w:t>
        </w:r>
      </w:hyperlink>
      <w:r>
        <w:rPr>
          <w:rFonts w:ascii="inherit" w:hAnsi="inherit"/>
          <w:color w:val="111111"/>
          <w:sz w:val="29"/>
          <w:szCs w:val="29"/>
        </w:rPr>
        <w:t> and O’Sullivan and Sheridan </w:t>
      </w:r>
      <w:hyperlink r:id="rId37" w:tgtFrame="_blank" w:history="1">
        <w:r>
          <w:rPr>
            <w:rStyle w:val="Hyperlink"/>
            <w:rFonts w:ascii="inherit" w:hAnsi="inherit"/>
            <w:color w:val="000000"/>
            <w:sz w:val="29"/>
            <w:szCs w:val="29"/>
            <w:bdr w:val="none" w:sz="0" w:space="0" w:color="auto" w:frame="1"/>
          </w:rPr>
          <w:t>(1999) </w:t>
        </w:r>
      </w:hyperlink>
      <w:r>
        <w:rPr>
          <w:rFonts w:ascii="inherit" w:hAnsi="inherit"/>
          <w:color w:val="111111"/>
          <w:sz w:val="29"/>
          <w:szCs w:val="29"/>
        </w:rPr>
        <w:t>highlight the need for women in management roles to balance the ability to dress and behave more masculine and competent while at the same time achieving the ‘right’ amount of femineity to avoid being seen as ‘unnatural’.</w:t>
      </w:r>
    </w:p>
    <w:p w:rsidR="0070263E" w:rsidRDefault="0070263E" w:rsidP="0070263E">
      <w:pPr>
        <w:pStyle w:val="NormalWeb"/>
        <w:shd w:val="clear" w:color="auto" w:fill="FFFFFF"/>
        <w:spacing w:before="0" w:beforeAutospacing="0" w:after="0" w:afterAutospacing="0"/>
        <w:textAlignment w:val="baseline"/>
        <w:rPr>
          <w:rFonts w:ascii="inherit" w:hAnsi="inherit"/>
          <w:color w:val="111111"/>
          <w:sz w:val="29"/>
          <w:szCs w:val="29"/>
        </w:rPr>
      </w:pPr>
      <w:r>
        <w:rPr>
          <w:rFonts w:ascii="inherit" w:hAnsi="inherit"/>
          <w:color w:val="111111"/>
          <w:sz w:val="29"/>
          <w:szCs w:val="29"/>
        </w:rPr>
        <w:t>Physical depictions of professional identity are not limited to sartorial choices but also include the physical body and how it is conducted within the space of the workplace. There are a number of commonly held stereotypical archetypes that dictate what is thought to be the ideal physical body within the corporate workplace. Generally, these surround the idea of the ‘fit’ body as the preferred body based on the socio-cultural assumption that the physical body is a reflection of an individuals’ capabilities and dominance over the mind </w:t>
      </w:r>
      <w:hyperlink r:id="rId38" w:tgtFrame="_blank" w:history="1">
        <w:r>
          <w:rPr>
            <w:rStyle w:val="Hyperlink"/>
            <w:rFonts w:ascii="inherit" w:hAnsi="inherit"/>
            <w:color w:val="000000"/>
            <w:sz w:val="29"/>
            <w:szCs w:val="29"/>
            <w:bdr w:val="none" w:sz="0" w:space="0" w:color="auto" w:frame="1"/>
          </w:rPr>
          <w:t xml:space="preserve">(Trethewey, 1999; </w:t>
        </w:r>
        <w:proofErr w:type="spellStart"/>
        <w:r>
          <w:rPr>
            <w:rStyle w:val="Hyperlink"/>
            <w:rFonts w:ascii="inherit" w:hAnsi="inherit"/>
            <w:color w:val="000000"/>
            <w:sz w:val="29"/>
            <w:szCs w:val="29"/>
            <w:bdr w:val="none" w:sz="0" w:space="0" w:color="auto" w:frame="1"/>
          </w:rPr>
          <w:t>Merilainen</w:t>
        </w:r>
        <w:proofErr w:type="spellEnd"/>
        <w:r>
          <w:rPr>
            <w:rStyle w:val="Hyperlink"/>
            <w:rFonts w:ascii="inherit" w:hAnsi="inherit"/>
            <w:color w:val="000000"/>
            <w:sz w:val="29"/>
            <w:szCs w:val="29"/>
            <w:bdr w:val="none" w:sz="0" w:space="0" w:color="auto" w:frame="1"/>
          </w:rPr>
          <w:t xml:space="preserve">, </w:t>
        </w:r>
        <w:proofErr w:type="spellStart"/>
        <w:r>
          <w:rPr>
            <w:rStyle w:val="Hyperlink"/>
            <w:rFonts w:ascii="inherit" w:hAnsi="inherit"/>
            <w:color w:val="000000"/>
            <w:sz w:val="29"/>
            <w:szCs w:val="29"/>
            <w:bdr w:val="none" w:sz="0" w:space="0" w:color="auto" w:frame="1"/>
          </w:rPr>
          <w:t>Tienari</w:t>
        </w:r>
        <w:proofErr w:type="spellEnd"/>
        <w:r>
          <w:rPr>
            <w:rStyle w:val="Hyperlink"/>
            <w:rFonts w:ascii="inherit" w:hAnsi="inherit"/>
            <w:color w:val="000000"/>
            <w:sz w:val="29"/>
            <w:szCs w:val="29"/>
            <w:bdr w:val="none" w:sz="0" w:space="0" w:color="auto" w:frame="1"/>
          </w:rPr>
          <w:t xml:space="preserve"> &amp; </w:t>
        </w:r>
        <w:proofErr w:type="spellStart"/>
        <w:r>
          <w:rPr>
            <w:rStyle w:val="Hyperlink"/>
            <w:rFonts w:ascii="inherit" w:hAnsi="inherit"/>
            <w:color w:val="000000"/>
            <w:sz w:val="29"/>
            <w:szCs w:val="29"/>
            <w:bdr w:val="none" w:sz="0" w:space="0" w:color="auto" w:frame="1"/>
          </w:rPr>
          <w:t>Valtonen</w:t>
        </w:r>
        <w:proofErr w:type="spellEnd"/>
        <w:r>
          <w:rPr>
            <w:rStyle w:val="Hyperlink"/>
            <w:rFonts w:ascii="inherit" w:hAnsi="inherit"/>
            <w:color w:val="000000"/>
            <w:sz w:val="29"/>
            <w:szCs w:val="29"/>
            <w:bdr w:val="none" w:sz="0" w:space="0" w:color="auto" w:frame="1"/>
          </w:rPr>
          <w:t>, 2013)</w:t>
        </w:r>
      </w:hyperlink>
      <w:r>
        <w:rPr>
          <w:rFonts w:ascii="inherit" w:hAnsi="inherit"/>
          <w:color w:val="111111"/>
          <w:sz w:val="29"/>
          <w:szCs w:val="29"/>
        </w:rPr>
        <w:t>. Not only does </w:t>
      </w:r>
      <w:r>
        <w:rPr>
          <w:rStyle w:val="Emphasis"/>
          <w:rFonts w:ascii="inherit" w:hAnsi="inherit"/>
          <w:color w:val="111111"/>
          <w:sz w:val="29"/>
          <w:szCs w:val="29"/>
          <w:bdr w:val="none" w:sz="0" w:space="0" w:color="auto" w:frame="1"/>
        </w:rPr>
        <w:t>The Devil Wear Prada </w:t>
      </w:r>
      <w:r>
        <w:rPr>
          <w:rFonts w:ascii="inherit" w:hAnsi="inherit"/>
          <w:color w:val="111111"/>
          <w:sz w:val="29"/>
          <w:szCs w:val="29"/>
        </w:rPr>
        <w:t>capture this concept of the ‘fit’ body being the ideal body but it magnifies it, glorifying the often aspiration ideal within the fashion industry of being considered skinnier that then generally accepted norm </w:t>
      </w:r>
      <w:hyperlink r:id="rId39"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 </w:t>
        </w:r>
        <w:proofErr w:type="spellStart"/>
        <w:r>
          <w:rPr>
            <w:rStyle w:val="Hyperlink"/>
            <w:rFonts w:ascii="inherit" w:hAnsi="inherit"/>
            <w:color w:val="000000"/>
            <w:sz w:val="29"/>
            <w:szCs w:val="29"/>
            <w:bdr w:val="none" w:sz="0" w:space="0" w:color="auto" w:frame="1"/>
          </w:rPr>
          <w:t>Entwistle</w:t>
        </w:r>
        <w:proofErr w:type="spellEnd"/>
        <w:r>
          <w:rPr>
            <w:rStyle w:val="Hyperlink"/>
            <w:rFonts w:ascii="inherit" w:hAnsi="inherit"/>
            <w:color w:val="000000"/>
            <w:sz w:val="29"/>
            <w:szCs w:val="29"/>
            <w:bdr w:val="none" w:sz="0" w:space="0" w:color="auto" w:frame="1"/>
          </w:rPr>
          <w:t xml:space="preserve"> &amp; </w:t>
        </w:r>
        <w:proofErr w:type="spellStart"/>
        <w:r>
          <w:rPr>
            <w:rStyle w:val="Hyperlink"/>
            <w:rFonts w:ascii="inherit" w:hAnsi="inherit"/>
            <w:color w:val="000000"/>
            <w:sz w:val="29"/>
            <w:szCs w:val="29"/>
            <w:bdr w:val="none" w:sz="0" w:space="0" w:color="auto" w:frame="1"/>
          </w:rPr>
          <w:t>Wissinger</w:t>
        </w:r>
        <w:proofErr w:type="spellEnd"/>
        <w:r>
          <w:rPr>
            <w:rStyle w:val="Hyperlink"/>
            <w:rFonts w:ascii="inherit" w:hAnsi="inherit"/>
            <w:color w:val="000000"/>
            <w:sz w:val="29"/>
            <w:szCs w:val="29"/>
            <w:bdr w:val="none" w:sz="0" w:space="0" w:color="auto" w:frame="1"/>
          </w:rPr>
          <w:t>, 2006)</w:t>
        </w:r>
      </w:hyperlink>
      <w:r>
        <w:rPr>
          <w:rFonts w:ascii="inherit" w:hAnsi="inherit"/>
          <w:color w:val="111111"/>
          <w:sz w:val="29"/>
          <w:szCs w:val="29"/>
        </w:rPr>
        <w:t>. This popular culture example of organisational theory is particularly relevant to the idea of mimesis where according to Rhodes and Westwood </w:t>
      </w:r>
      <w:hyperlink r:id="rId40" w:tgtFrame="_blank" w:history="1">
        <w:r>
          <w:rPr>
            <w:rStyle w:val="Hyperlink"/>
            <w:rFonts w:ascii="inherit" w:hAnsi="inherit"/>
            <w:color w:val="000000"/>
            <w:sz w:val="29"/>
            <w:szCs w:val="29"/>
            <w:bdr w:val="none" w:sz="0" w:space="0" w:color="auto" w:frame="1"/>
          </w:rPr>
          <w:t>(2007, p.46)</w:t>
        </w:r>
      </w:hyperlink>
      <w:r>
        <w:rPr>
          <w:rFonts w:ascii="inherit" w:hAnsi="inherit"/>
          <w:color w:val="111111"/>
          <w:sz w:val="29"/>
          <w:szCs w:val="29"/>
        </w:rPr>
        <w:t> “the copy assumes the characteristics and power of the original while at the same time being excessive of it”. Taking the idea of what external perspectives of body image within fashion organisations may be and reproducing it in an altered and magnified manner </w:t>
      </w:r>
      <w:hyperlink r:id="rId41" w:tgtFrame="_blank" w:history="1">
        <w:r>
          <w:rPr>
            <w:rStyle w:val="Hyperlink"/>
            <w:rFonts w:ascii="inherit" w:hAnsi="inherit"/>
            <w:color w:val="000000"/>
            <w:sz w:val="29"/>
            <w:szCs w:val="29"/>
            <w:bdr w:val="none" w:sz="0" w:space="0" w:color="auto" w:frame="1"/>
          </w:rPr>
          <w:t xml:space="preserve">(Rhodes &amp; Westwood, 2007; </w:t>
        </w:r>
        <w:proofErr w:type="spellStart"/>
        <w:r>
          <w:rPr>
            <w:rStyle w:val="Hyperlink"/>
            <w:rFonts w:ascii="inherit" w:hAnsi="inherit"/>
            <w:color w:val="000000"/>
            <w:sz w:val="29"/>
            <w:szCs w:val="29"/>
            <w:bdr w:val="none" w:sz="0" w:space="0" w:color="auto" w:frame="1"/>
          </w:rPr>
          <w:t>Entwistle</w:t>
        </w:r>
        <w:proofErr w:type="spellEnd"/>
        <w:r>
          <w:rPr>
            <w:rStyle w:val="Hyperlink"/>
            <w:rFonts w:ascii="inherit" w:hAnsi="inherit"/>
            <w:color w:val="000000"/>
            <w:sz w:val="29"/>
            <w:szCs w:val="29"/>
            <w:bdr w:val="none" w:sz="0" w:space="0" w:color="auto" w:frame="1"/>
          </w:rPr>
          <w:t xml:space="preserve"> &amp; </w:t>
        </w:r>
        <w:proofErr w:type="spellStart"/>
        <w:r>
          <w:rPr>
            <w:rStyle w:val="Hyperlink"/>
            <w:rFonts w:ascii="inherit" w:hAnsi="inherit"/>
            <w:color w:val="000000"/>
            <w:sz w:val="29"/>
            <w:szCs w:val="29"/>
            <w:bdr w:val="none" w:sz="0" w:space="0" w:color="auto" w:frame="1"/>
          </w:rPr>
          <w:t>Wissinger</w:t>
        </w:r>
        <w:proofErr w:type="spellEnd"/>
        <w:r>
          <w:rPr>
            <w:rStyle w:val="Hyperlink"/>
            <w:rFonts w:ascii="inherit" w:hAnsi="inherit"/>
            <w:color w:val="000000"/>
            <w:sz w:val="29"/>
            <w:szCs w:val="29"/>
            <w:bdr w:val="none" w:sz="0" w:space="0" w:color="auto" w:frame="1"/>
          </w:rPr>
          <w:t>, 2006)</w:t>
        </w:r>
      </w:hyperlink>
      <w:r>
        <w:rPr>
          <w:rFonts w:ascii="inherit" w:hAnsi="inherit"/>
          <w:color w:val="111111"/>
          <w:sz w:val="29"/>
          <w:szCs w:val="29"/>
        </w:rPr>
        <w:t>. Examples of this can be seen in the scenes where Andy is in the lunch line with Nigel the Fashion Editor and says “so none of the girls here eat anything” and he replies “not since 2 become the new 4 and 0 become the new 2”, to which Andy states “well I’m a 6” and Nigel responds “which is the new 14” with a horrified look, also when Andy compliments Emily he co-worker on looking “so skinny” and she responds “I’m just one stomach flu away from my goal weight” </w:t>
      </w:r>
      <w:hyperlink r:id="rId42"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w:t>
        </w:r>
      </w:hyperlink>
      <w:r>
        <w:rPr>
          <w:rFonts w:ascii="inherit" w:hAnsi="inherit"/>
          <w:color w:val="111111"/>
          <w:sz w:val="29"/>
          <w:szCs w:val="29"/>
        </w:rPr>
        <w:t> </w:t>
      </w:r>
      <w:r w:rsidR="009469AA">
        <w:rPr>
          <w:rFonts w:ascii="inherit" w:hAnsi="inherit"/>
          <w:color w:val="111111"/>
          <w:sz w:val="29"/>
          <w:szCs w:val="29"/>
        </w:rPr>
        <w:t xml:space="preserve"> </w:t>
      </w:r>
      <w:r>
        <w:rPr>
          <w:rFonts w:ascii="inherit" w:hAnsi="inherit"/>
          <w:color w:val="111111"/>
          <w:sz w:val="29"/>
          <w:szCs w:val="29"/>
        </w:rPr>
        <w:t>Where assumptions on ideal body standards in the fashion industry are</w:t>
      </w:r>
      <w:r>
        <w:rPr>
          <w:rFonts w:ascii="inherit" w:hAnsi="inherit"/>
          <w:color w:val="111111"/>
          <w:sz w:val="29"/>
          <w:szCs w:val="29"/>
        </w:rPr>
        <w:br/>
        <w:t>depicted in an exaggerated form, filtering back to society and concreting a new norm that has been exaggerated by popular culture and is now being commonly seen in the modelling, acting, magazine and clothes industries </w:t>
      </w:r>
      <w:hyperlink r:id="rId43" w:tgtFrame="_blank" w:history="1">
        <w:r>
          <w:rPr>
            <w:rStyle w:val="Hyperlink"/>
            <w:rFonts w:ascii="inherit" w:hAnsi="inherit"/>
            <w:color w:val="000000"/>
            <w:sz w:val="29"/>
            <w:szCs w:val="29"/>
            <w:bdr w:val="none" w:sz="0" w:space="0" w:color="auto" w:frame="1"/>
          </w:rPr>
          <w:t xml:space="preserve">(Rhodes &amp; Westwood, 2007; </w:t>
        </w:r>
        <w:proofErr w:type="spellStart"/>
        <w:r>
          <w:rPr>
            <w:rStyle w:val="Hyperlink"/>
            <w:rFonts w:ascii="inherit" w:hAnsi="inherit"/>
            <w:color w:val="000000"/>
            <w:sz w:val="29"/>
            <w:szCs w:val="29"/>
            <w:bdr w:val="none" w:sz="0" w:space="0" w:color="auto" w:frame="1"/>
          </w:rPr>
          <w:t>Entwistle</w:t>
        </w:r>
        <w:proofErr w:type="spellEnd"/>
        <w:r>
          <w:rPr>
            <w:rStyle w:val="Hyperlink"/>
            <w:rFonts w:ascii="inherit" w:hAnsi="inherit"/>
            <w:color w:val="000000"/>
            <w:sz w:val="29"/>
            <w:szCs w:val="29"/>
            <w:bdr w:val="none" w:sz="0" w:space="0" w:color="auto" w:frame="1"/>
          </w:rPr>
          <w:t xml:space="preserve"> &amp; </w:t>
        </w:r>
        <w:proofErr w:type="spellStart"/>
        <w:r>
          <w:rPr>
            <w:rStyle w:val="Hyperlink"/>
            <w:rFonts w:ascii="inherit" w:hAnsi="inherit"/>
            <w:color w:val="000000"/>
            <w:sz w:val="29"/>
            <w:szCs w:val="29"/>
            <w:bdr w:val="none" w:sz="0" w:space="0" w:color="auto" w:frame="1"/>
          </w:rPr>
          <w:t>Wissinger</w:t>
        </w:r>
        <w:proofErr w:type="spellEnd"/>
        <w:r>
          <w:rPr>
            <w:rStyle w:val="Hyperlink"/>
            <w:rFonts w:ascii="inherit" w:hAnsi="inherit"/>
            <w:color w:val="000000"/>
            <w:sz w:val="29"/>
            <w:szCs w:val="29"/>
            <w:bdr w:val="none" w:sz="0" w:space="0" w:color="auto" w:frame="1"/>
          </w:rPr>
          <w:t>, 2006)</w:t>
        </w:r>
      </w:hyperlink>
      <w:r>
        <w:rPr>
          <w:rFonts w:ascii="inherit" w:hAnsi="inherit"/>
          <w:color w:val="111111"/>
          <w:sz w:val="29"/>
          <w:szCs w:val="29"/>
        </w:rPr>
        <w:t xml:space="preserve">. </w:t>
      </w:r>
      <w:r>
        <w:rPr>
          <w:rFonts w:ascii="inherit" w:hAnsi="inherit"/>
          <w:color w:val="111111"/>
          <w:sz w:val="29"/>
          <w:szCs w:val="29"/>
        </w:rPr>
        <w:lastRenderedPageBreak/>
        <w:t xml:space="preserve">These assumptions on the ideal body also directly relate back to a </w:t>
      </w:r>
      <w:proofErr w:type="spellStart"/>
      <w:proofErr w:type="gramStart"/>
      <w:r>
        <w:rPr>
          <w:rFonts w:ascii="inherit" w:hAnsi="inherit"/>
          <w:color w:val="111111"/>
          <w:sz w:val="29"/>
          <w:szCs w:val="29"/>
        </w:rPr>
        <w:t>persons</w:t>
      </w:r>
      <w:proofErr w:type="spellEnd"/>
      <w:proofErr w:type="gramEnd"/>
      <w:r>
        <w:rPr>
          <w:rFonts w:ascii="inherit" w:hAnsi="inherit"/>
          <w:color w:val="111111"/>
          <w:sz w:val="29"/>
          <w:szCs w:val="29"/>
        </w:rPr>
        <w:t xml:space="preserve"> self-identity and how not conforming to these ideals may impact an </w:t>
      </w:r>
      <w:proofErr w:type="spellStart"/>
      <w:r>
        <w:rPr>
          <w:rFonts w:ascii="inherit" w:hAnsi="inherit"/>
          <w:color w:val="111111"/>
          <w:sz w:val="29"/>
          <w:szCs w:val="29"/>
        </w:rPr>
        <w:t>individuals</w:t>
      </w:r>
      <w:proofErr w:type="spellEnd"/>
      <w:r>
        <w:rPr>
          <w:rFonts w:ascii="inherit" w:hAnsi="inherit"/>
          <w:color w:val="111111"/>
          <w:sz w:val="29"/>
          <w:szCs w:val="29"/>
        </w:rPr>
        <w:t xml:space="preserve"> self-esteem compared to how attaining this ideal may strengthen the professional identity and feelings of fit </w:t>
      </w:r>
      <w:hyperlink r:id="rId44" w:tgtFrame="_blank" w:history="1">
        <w:r>
          <w:rPr>
            <w:rStyle w:val="Hyperlink"/>
            <w:rFonts w:ascii="inherit" w:hAnsi="inherit"/>
            <w:color w:val="000000"/>
            <w:sz w:val="29"/>
            <w:szCs w:val="29"/>
            <w:bdr w:val="none" w:sz="0" w:space="0" w:color="auto" w:frame="1"/>
          </w:rPr>
          <w:t>(Trethewey, 1999)</w:t>
        </w:r>
      </w:hyperlink>
      <w:r>
        <w:rPr>
          <w:rFonts w:ascii="inherit" w:hAnsi="inherit"/>
          <w:color w:val="111111"/>
          <w:sz w:val="29"/>
          <w:szCs w:val="29"/>
        </w:rPr>
        <w:t>. This is exampled in </w:t>
      </w:r>
      <w:r>
        <w:rPr>
          <w:rStyle w:val="Emphasis"/>
          <w:rFonts w:ascii="inherit" w:hAnsi="inherit"/>
          <w:color w:val="111111"/>
          <w:sz w:val="29"/>
          <w:szCs w:val="29"/>
          <w:bdr w:val="none" w:sz="0" w:space="0" w:color="auto" w:frame="1"/>
        </w:rPr>
        <w:t>The Devil Wears Prada </w:t>
      </w:r>
      <w:r>
        <w:rPr>
          <w:rFonts w:ascii="inherit" w:hAnsi="inherit"/>
          <w:color w:val="111111"/>
          <w:sz w:val="29"/>
          <w:szCs w:val="29"/>
        </w:rPr>
        <w:t>when towards the end of the film Andy gleefully comments to Nigel that she has gone down a dress size, further helping her conform to the </w:t>
      </w:r>
      <w:r>
        <w:rPr>
          <w:rStyle w:val="Emphasis"/>
          <w:rFonts w:ascii="inherit" w:hAnsi="inherit"/>
          <w:color w:val="111111"/>
          <w:sz w:val="29"/>
          <w:szCs w:val="29"/>
          <w:bdr w:val="none" w:sz="0" w:space="0" w:color="auto" w:frame="1"/>
        </w:rPr>
        <w:t>Runway </w:t>
      </w:r>
      <w:r>
        <w:rPr>
          <w:rFonts w:ascii="inherit" w:hAnsi="inherit"/>
          <w:color w:val="111111"/>
          <w:sz w:val="29"/>
          <w:szCs w:val="29"/>
        </w:rPr>
        <w:t>ideal and become ‘one of the in group’ </w:t>
      </w:r>
      <w:hyperlink r:id="rId45"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Finerman</w:t>
        </w:r>
        <w:proofErr w:type="spellEnd"/>
        <w:r>
          <w:rPr>
            <w:rStyle w:val="Hyperlink"/>
            <w:rFonts w:ascii="inherit" w:hAnsi="inherit"/>
            <w:color w:val="000000"/>
            <w:sz w:val="29"/>
            <w:szCs w:val="29"/>
            <w:bdr w:val="none" w:sz="0" w:space="0" w:color="auto" w:frame="1"/>
          </w:rPr>
          <w:t xml:space="preserve"> &amp; Frankel, 2006; </w:t>
        </w:r>
        <w:proofErr w:type="spellStart"/>
        <w:r>
          <w:rPr>
            <w:rStyle w:val="Hyperlink"/>
            <w:rFonts w:ascii="inherit" w:hAnsi="inherit"/>
            <w:color w:val="000000"/>
            <w:sz w:val="29"/>
            <w:szCs w:val="29"/>
            <w:bdr w:val="none" w:sz="0" w:space="0" w:color="auto" w:frame="1"/>
          </w:rPr>
          <w:t>Ashforth</w:t>
        </w:r>
        <w:proofErr w:type="spellEnd"/>
        <w:r>
          <w:rPr>
            <w:rStyle w:val="Hyperlink"/>
            <w:rFonts w:ascii="inherit" w:hAnsi="inherit"/>
            <w:color w:val="000000"/>
            <w:sz w:val="29"/>
            <w:szCs w:val="29"/>
            <w:bdr w:val="none" w:sz="0" w:space="0" w:color="auto" w:frame="1"/>
          </w:rPr>
          <w:t xml:space="preserve"> &amp; </w:t>
        </w:r>
        <w:proofErr w:type="spellStart"/>
        <w:r>
          <w:rPr>
            <w:rStyle w:val="Hyperlink"/>
            <w:rFonts w:ascii="inherit" w:hAnsi="inherit"/>
            <w:color w:val="000000"/>
            <w:sz w:val="29"/>
            <w:szCs w:val="29"/>
            <w:bdr w:val="none" w:sz="0" w:space="0" w:color="auto" w:frame="1"/>
          </w:rPr>
          <w:t>Mael</w:t>
        </w:r>
        <w:proofErr w:type="spellEnd"/>
        <w:r>
          <w:rPr>
            <w:rStyle w:val="Hyperlink"/>
            <w:rFonts w:ascii="inherit" w:hAnsi="inherit"/>
            <w:color w:val="000000"/>
            <w:sz w:val="29"/>
            <w:szCs w:val="29"/>
            <w:bdr w:val="none" w:sz="0" w:space="0" w:color="auto" w:frame="1"/>
          </w:rPr>
          <w:t>, 1989)</w:t>
        </w:r>
      </w:hyperlink>
      <w:r>
        <w:rPr>
          <w:rFonts w:ascii="inherit" w:hAnsi="inherit"/>
          <w:color w:val="111111"/>
          <w:sz w:val="29"/>
          <w:szCs w:val="29"/>
        </w:rPr>
        <w:t>.</w:t>
      </w:r>
    </w:p>
    <w:p w:rsidR="0070263E" w:rsidRPr="009469AA" w:rsidRDefault="009469AA" w:rsidP="0070263E">
      <w:pPr>
        <w:shd w:val="clear" w:color="auto" w:fill="FFFFFF"/>
        <w:textAlignment w:val="baseline"/>
        <w:rPr>
          <w:rFonts w:ascii="Century Schoolbook" w:eastAsia="Times New Roman" w:hAnsi="Century Schoolbook" w:cs="Times New Roman"/>
          <w:color w:val="FF0000"/>
          <w:sz w:val="29"/>
          <w:szCs w:val="29"/>
        </w:rPr>
      </w:pPr>
      <w:r w:rsidRPr="009469AA">
        <w:rPr>
          <w:rFonts w:ascii="Century Schoolbook" w:eastAsia="Times New Roman" w:hAnsi="Century Schoolbook" w:cs="Times New Roman"/>
          <w:color w:val="FF0000"/>
          <w:sz w:val="29"/>
          <w:szCs w:val="29"/>
          <w:highlight w:val="yellow"/>
        </w:rPr>
        <w:t>Gender, Power &amp; Identity</w:t>
      </w:r>
      <w:r w:rsidRPr="009469AA">
        <w:rPr>
          <w:rFonts w:ascii="Century Schoolbook" w:eastAsia="Times New Roman" w:hAnsi="Century Schoolbook" w:cs="Times New Roman"/>
          <w:color w:val="FF0000"/>
          <w:sz w:val="29"/>
          <w:szCs w:val="29"/>
        </w:rPr>
        <w:t xml:space="preserve"> </w:t>
      </w:r>
    </w:p>
    <w:p w:rsidR="009469AA" w:rsidRDefault="009469AA" w:rsidP="0070263E">
      <w:pPr>
        <w:shd w:val="clear" w:color="auto" w:fill="FFFFFF"/>
        <w:textAlignment w:val="baseline"/>
        <w:rPr>
          <w:rFonts w:ascii="Century Schoolbook" w:eastAsia="Times New Roman" w:hAnsi="Century Schoolbook" w:cs="Times New Roman"/>
          <w:color w:val="111111"/>
          <w:sz w:val="29"/>
          <w:szCs w:val="29"/>
        </w:rPr>
      </w:pPr>
    </w:p>
    <w:p w:rsidR="009469AA" w:rsidRDefault="009469AA" w:rsidP="0070263E">
      <w:pPr>
        <w:shd w:val="clear" w:color="auto" w:fill="FFFFFF"/>
        <w:textAlignment w:val="baseline"/>
        <w:rPr>
          <w:rFonts w:ascii="Century Schoolbook" w:eastAsia="Times New Roman" w:hAnsi="Century Schoolbook" w:cs="Times New Roman"/>
          <w:color w:val="111111"/>
          <w:sz w:val="29"/>
          <w:szCs w:val="29"/>
        </w:rPr>
      </w:pPr>
      <w:r>
        <w:rPr>
          <w:rFonts w:ascii="Century Schoolbook" w:eastAsia="Times New Roman" w:hAnsi="Century Schoolbook" w:cs="Times New Roman"/>
          <w:color w:val="111111"/>
          <w:sz w:val="29"/>
          <w:szCs w:val="29"/>
        </w:rPr>
        <w:t xml:space="preserve">THE WORKPLACE, POPULAR CULTURE AND THE RELATIONSHIP TO IDENTITY </w:t>
      </w:r>
    </w:p>
    <w:p w:rsidR="009469AA" w:rsidRDefault="009469AA" w:rsidP="0070263E">
      <w:pPr>
        <w:shd w:val="clear" w:color="auto" w:fill="FFFFFF"/>
        <w:textAlignment w:val="baseline"/>
        <w:rPr>
          <w:rFonts w:ascii="Century Schoolbook" w:eastAsia="Times New Roman" w:hAnsi="Century Schoolbook" w:cs="Times New Roman"/>
          <w:color w:val="111111"/>
          <w:sz w:val="29"/>
          <w:szCs w:val="29"/>
        </w:rPr>
      </w:pPr>
    </w:p>
    <w:p w:rsidR="009469AA" w:rsidRDefault="009469AA" w:rsidP="009469AA">
      <w:pPr>
        <w:pStyle w:val="Heading1"/>
        <w:shd w:val="clear" w:color="auto" w:fill="FFFFFF"/>
        <w:spacing w:before="240" w:beforeAutospacing="0" w:after="192" w:afterAutospacing="0"/>
        <w:jc w:val="center"/>
        <w:textAlignment w:val="baseline"/>
        <w:rPr>
          <w:rFonts w:ascii="Century Schoolbook" w:hAnsi="Century Schoolbook"/>
          <w:caps/>
          <w:color w:val="111111"/>
        </w:rPr>
      </w:pPr>
      <w:r>
        <w:rPr>
          <w:rFonts w:ascii="Century Schoolbook" w:hAnsi="Century Schoolbook"/>
          <w:caps/>
          <w:color w:val="111111"/>
        </w:rPr>
        <w:t>PROTECTED: GENDER, POWER &amp; IDENTITY</w:t>
      </w:r>
    </w:p>
    <w:p w:rsidR="009469AA" w:rsidRDefault="009469AA" w:rsidP="009469AA">
      <w:pPr>
        <w:pStyle w:val="NormalWeb"/>
        <w:shd w:val="clear" w:color="auto" w:fill="FFFFFF"/>
        <w:spacing w:before="0" w:beforeAutospacing="0" w:after="0" w:afterAutospacing="0"/>
        <w:textAlignment w:val="baseline"/>
        <w:rPr>
          <w:rFonts w:ascii="Century Schoolbook" w:hAnsi="Century Schoolbook"/>
          <w:color w:val="111111"/>
          <w:sz w:val="29"/>
          <w:szCs w:val="29"/>
        </w:rPr>
      </w:pPr>
      <w:r>
        <w:rPr>
          <w:rFonts w:ascii="Century Schoolbook" w:hAnsi="Century Schoolbook"/>
          <w:color w:val="111111"/>
          <w:sz w:val="29"/>
          <w:szCs w:val="29"/>
        </w:rPr>
        <w:t>Given that the two main protagonists of the popular culture reference </w:t>
      </w:r>
      <w:r>
        <w:rPr>
          <w:rStyle w:val="Emphasis"/>
          <w:rFonts w:ascii="inherit" w:hAnsi="inherit"/>
          <w:color w:val="111111"/>
          <w:sz w:val="29"/>
          <w:szCs w:val="29"/>
          <w:bdr w:val="none" w:sz="0" w:space="0" w:color="auto" w:frame="1"/>
        </w:rPr>
        <w:t>The Devil wears Prada</w:t>
      </w:r>
      <w:r>
        <w:rPr>
          <w:rFonts w:ascii="Century Schoolbook" w:hAnsi="Century Schoolbook"/>
          <w:color w:val="111111"/>
          <w:sz w:val="29"/>
          <w:szCs w:val="29"/>
        </w:rPr>
        <w:t> are female,</w:t>
      </w:r>
      <w:r>
        <w:rPr>
          <w:rStyle w:val="Emphasis"/>
          <w:rFonts w:ascii="inherit" w:hAnsi="inherit"/>
          <w:color w:val="111111"/>
          <w:sz w:val="29"/>
          <w:szCs w:val="29"/>
          <w:bdr w:val="none" w:sz="0" w:space="0" w:color="auto" w:frame="1"/>
        </w:rPr>
        <w:t> </w:t>
      </w:r>
      <w:r>
        <w:rPr>
          <w:rFonts w:ascii="Century Schoolbook" w:hAnsi="Century Schoolbook"/>
          <w:color w:val="111111"/>
          <w:sz w:val="29"/>
          <w:szCs w:val="29"/>
        </w:rPr>
        <w:t xml:space="preserve">gender, power and identity will centre on the role of women in the workplace. The popular culture reference provides us with an interesting example of contrasting roles women play within the working environment, the boss and the subordinate. </w:t>
      </w:r>
      <w:proofErr w:type="spellStart"/>
      <w:r>
        <w:rPr>
          <w:rFonts w:ascii="Century Schoolbook" w:hAnsi="Century Schoolbook"/>
          <w:color w:val="111111"/>
          <w:sz w:val="29"/>
          <w:szCs w:val="29"/>
        </w:rPr>
        <w:t>Ezzedeen</w:t>
      </w:r>
      <w:proofErr w:type="spellEnd"/>
      <w:r>
        <w:rPr>
          <w:rFonts w:ascii="Century Schoolbook" w:hAnsi="Century Schoolbook"/>
          <w:color w:val="111111"/>
          <w:sz w:val="29"/>
          <w:szCs w:val="29"/>
        </w:rPr>
        <w:t> </w:t>
      </w:r>
      <w:hyperlink r:id="rId46" w:tgtFrame="_blank" w:history="1">
        <w:r>
          <w:rPr>
            <w:rStyle w:val="Hyperlink"/>
            <w:rFonts w:ascii="inherit" w:hAnsi="inherit"/>
            <w:color w:val="000000"/>
            <w:sz w:val="29"/>
            <w:szCs w:val="29"/>
            <w:bdr w:val="none" w:sz="0" w:space="0" w:color="auto" w:frame="1"/>
          </w:rPr>
          <w:t>(2015)</w:t>
        </w:r>
      </w:hyperlink>
      <w:r>
        <w:rPr>
          <w:rFonts w:ascii="Century Schoolbook" w:hAnsi="Century Schoolbook"/>
          <w:color w:val="111111"/>
          <w:sz w:val="29"/>
          <w:szCs w:val="29"/>
        </w:rPr>
        <w:t> posits that portrayals of women in the workforce are contributing to the continuing persistence of the glass ceiling, a term used to describe barriers to women in achieving equality within the workforce. These portrayals have also been related to the concept of “stereotype threat”, whereby roles that are represented with gendered bias in popular culture lead to real life situations of under-performance, or an avoidance altogether of roles or career paths that may exhibit threats to current social norms </w:t>
      </w:r>
      <w:hyperlink r:id="rId47"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Ezzedeen</w:t>
        </w:r>
        <w:proofErr w:type="spellEnd"/>
        <w:r>
          <w:rPr>
            <w:rStyle w:val="Hyperlink"/>
            <w:rFonts w:ascii="inherit" w:hAnsi="inherit"/>
            <w:color w:val="000000"/>
            <w:sz w:val="29"/>
            <w:szCs w:val="29"/>
            <w:bdr w:val="none" w:sz="0" w:space="0" w:color="auto" w:frame="1"/>
          </w:rPr>
          <w:t>, 2015)</w:t>
        </w:r>
      </w:hyperlink>
      <w:r>
        <w:rPr>
          <w:rFonts w:ascii="Century Schoolbook" w:hAnsi="Century Schoolbook"/>
          <w:color w:val="111111"/>
          <w:sz w:val="29"/>
          <w:szCs w:val="29"/>
        </w:rPr>
        <w:t>. The portrayal of Miranda in </w:t>
      </w:r>
      <w:r>
        <w:rPr>
          <w:rStyle w:val="Emphasis"/>
          <w:rFonts w:ascii="inherit" w:hAnsi="inherit"/>
          <w:color w:val="111111"/>
          <w:sz w:val="29"/>
          <w:szCs w:val="29"/>
          <w:bdr w:val="none" w:sz="0" w:space="0" w:color="auto" w:frame="1"/>
        </w:rPr>
        <w:t>The Devil Wears Prada </w:t>
      </w:r>
      <w:r>
        <w:rPr>
          <w:rFonts w:ascii="Century Schoolbook" w:hAnsi="Century Schoolbook"/>
          <w:color w:val="111111"/>
          <w:sz w:val="29"/>
          <w:szCs w:val="29"/>
        </w:rPr>
        <w:t xml:space="preserve">is a classic case of a supposed representation of empowerment for women in a powerful corporate role but in </w:t>
      </w:r>
      <w:proofErr w:type="gramStart"/>
      <w:r>
        <w:rPr>
          <w:rFonts w:ascii="Century Schoolbook" w:hAnsi="Century Schoolbook"/>
          <w:color w:val="111111"/>
          <w:sz w:val="29"/>
          <w:szCs w:val="29"/>
        </w:rPr>
        <w:t>reality</w:t>
      </w:r>
      <w:proofErr w:type="gramEnd"/>
      <w:r>
        <w:rPr>
          <w:rFonts w:ascii="Century Schoolbook" w:hAnsi="Century Schoolbook"/>
          <w:color w:val="111111"/>
          <w:sz w:val="29"/>
          <w:szCs w:val="29"/>
        </w:rPr>
        <w:t xml:space="preserve"> works to reinforce gendered roles in the workplace </w:t>
      </w:r>
      <w:hyperlink r:id="rId48" w:tgtFrame="_blank" w:history="1">
        <w:r>
          <w:rPr>
            <w:rStyle w:val="Hyperlink"/>
            <w:rFonts w:ascii="inherit" w:hAnsi="inherit"/>
            <w:color w:val="000000"/>
            <w:sz w:val="29"/>
            <w:szCs w:val="29"/>
            <w:bdr w:val="none" w:sz="0" w:space="0" w:color="auto" w:frame="1"/>
          </w:rPr>
          <w:t>(O’Sullivan &amp; Sheridan, 1999)</w:t>
        </w:r>
      </w:hyperlink>
      <w:r>
        <w:rPr>
          <w:rFonts w:ascii="Century Schoolbook" w:hAnsi="Century Schoolbook"/>
          <w:color w:val="111111"/>
          <w:sz w:val="29"/>
          <w:szCs w:val="29"/>
        </w:rPr>
        <w:t>. Miranda adopts a professional identity that demonstrates a number of masculine traits and aesthetics in order to be taken seriously as a competent boss within a corporate environment </w:t>
      </w:r>
      <w:hyperlink r:id="rId49" w:tgtFrame="_blank" w:history="1">
        <w:r>
          <w:rPr>
            <w:rStyle w:val="Hyperlink"/>
            <w:rFonts w:ascii="inherit" w:hAnsi="inherit"/>
            <w:color w:val="000000"/>
            <w:sz w:val="29"/>
            <w:szCs w:val="29"/>
            <w:bdr w:val="none" w:sz="0" w:space="0" w:color="auto" w:frame="1"/>
          </w:rPr>
          <w:t>(Barger 2011)</w:t>
        </w:r>
      </w:hyperlink>
      <w:r>
        <w:rPr>
          <w:rFonts w:ascii="Century Schoolbook" w:hAnsi="Century Schoolbook"/>
          <w:color w:val="111111"/>
          <w:sz w:val="29"/>
          <w:szCs w:val="29"/>
        </w:rPr>
        <w:t>. She is the quintessential example, according to Trethewey </w:t>
      </w:r>
      <w:hyperlink r:id="rId50" w:tgtFrame="_blank" w:history="1">
        <w:r>
          <w:rPr>
            <w:rStyle w:val="Hyperlink"/>
            <w:rFonts w:ascii="inherit" w:hAnsi="inherit"/>
            <w:color w:val="000000"/>
            <w:sz w:val="29"/>
            <w:szCs w:val="29"/>
            <w:bdr w:val="none" w:sz="0" w:space="0" w:color="auto" w:frame="1"/>
          </w:rPr>
          <w:t>(1999) </w:t>
        </w:r>
      </w:hyperlink>
      <w:r>
        <w:rPr>
          <w:rFonts w:ascii="Century Schoolbook" w:hAnsi="Century Schoolbook"/>
          <w:color w:val="111111"/>
          <w:sz w:val="29"/>
          <w:szCs w:val="29"/>
        </w:rPr>
        <w:t xml:space="preserve">of a women </w:t>
      </w:r>
      <w:r>
        <w:rPr>
          <w:rFonts w:ascii="Century Schoolbook" w:hAnsi="Century Schoolbook"/>
          <w:color w:val="111111"/>
          <w:sz w:val="29"/>
          <w:szCs w:val="29"/>
        </w:rPr>
        <w:lastRenderedPageBreak/>
        <w:t>who strategically dresses in a masculinized fashion to make herself appear more role-competent, achieving the right balance of ‘male-</w:t>
      </w:r>
      <w:proofErr w:type="spellStart"/>
      <w:r>
        <w:rPr>
          <w:rFonts w:ascii="Century Schoolbook" w:hAnsi="Century Schoolbook"/>
          <w:color w:val="111111"/>
          <w:sz w:val="29"/>
          <w:szCs w:val="29"/>
        </w:rPr>
        <w:t>ish</w:t>
      </w:r>
      <w:proofErr w:type="spellEnd"/>
      <w:r>
        <w:rPr>
          <w:rFonts w:ascii="Century Schoolbook" w:hAnsi="Century Schoolbook"/>
          <w:color w:val="111111"/>
          <w:sz w:val="29"/>
          <w:szCs w:val="29"/>
        </w:rPr>
        <w:t>’ traits while maintaining enough feminine indicators to avoid threatening the patriarchal order. Her identity as a successful boss of a multi-</w:t>
      </w:r>
      <w:proofErr w:type="gramStart"/>
      <w:r>
        <w:rPr>
          <w:rFonts w:ascii="Century Schoolbook" w:hAnsi="Century Schoolbook"/>
          <w:color w:val="111111"/>
          <w:sz w:val="29"/>
          <w:szCs w:val="29"/>
        </w:rPr>
        <w:t>million dollar</w:t>
      </w:r>
      <w:proofErr w:type="gramEnd"/>
      <w:r>
        <w:rPr>
          <w:rFonts w:ascii="Century Schoolbook" w:hAnsi="Century Schoolbook"/>
          <w:color w:val="111111"/>
          <w:sz w:val="29"/>
          <w:szCs w:val="29"/>
        </w:rPr>
        <w:t xml:space="preserve"> magazine is based largely on traditional stereotypical masculine character traits such as bluntness, insensitivity to subordinates feelings, being unemotional and assertiveness </w:t>
      </w:r>
      <w:hyperlink r:id="rId51" w:tgtFrame="_blank" w:history="1">
        <w:r>
          <w:rPr>
            <w:rStyle w:val="Hyperlink"/>
            <w:rFonts w:ascii="inherit" w:hAnsi="inherit"/>
            <w:color w:val="000000"/>
            <w:sz w:val="29"/>
            <w:szCs w:val="29"/>
            <w:bdr w:val="none" w:sz="0" w:space="0" w:color="auto" w:frame="1"/>
          </w:rPr>
          <w:t>(O’Sullivan &amp; Sheridan, 1999)</w:t>
        </w:r>
      </w:hyperlink>
      <w:r>
        <w:rPr>
          <w:rFonts w:ascii="Century Schoolbook" w:hAnsi="Century Schoolbook"/>
          <w:color w:val="111111"/>
          <w:sz w:val="29"/>
          <w:szCs w:val="29"/>
        </w:rPr>
        <w:t>. When she does seem to display emotions briefly during the revelation on her impeding divorce, it is interpreted as a weakness and a threat to her professional credibility, whereby she quickly regains her façade with a cruel quip at her assistant, re-establishing her masculine strength over the stereotypical emotional weakness associated with femininity </w:t>
      </w:r>
      <w:hyperlink r:id="rId52" w:tgtFrame="_blank" w:history="1">
        <w:r>
          <w:rPr>
            <w:rStyle w:val="Hyperlink"/>
            <w:rFonts w:ascii="inherit" w:hAnsi="inherit"/>
            <w:color w:val="000000"/>
            <w:sz w:val="29"/>
            <w:szCs w:val="29"/>
            <w:bdr w:val="none" w:sz="0" w:space="0" w:color="auto" w:frame="1"/>
          </w:rPr>
          <w:t>(Trethewey, 1999; O’Sullivan &amp; Sheridan, 1999)</w:t>
        </w:r>
      </w:hyperlink>
      <w:r>
        <w:rPr>
          <w:rFonts w:ascii="Century Schoolbook" w:hAnsi="Century Schoolbook"/>
          <w:color w:val="111111"/>
          <w:sz w:val="29"/>
          <w:szCs w:val="29"/>
        </w:rPr>
        <w:t>. </w:t>
      </w:r>
      <w:r>
        <w:rPr>
          <w:rFonts w:ascii="Century Schoolbook" w:hAnsi="Century Schoolbook"/>
          <w:color w:val="111111"/>
          <w:sz w:val="29"/>
          <w:szCs w:val="29"/>
        </w:rPr>
        <w:t xml:space="preserve"> </w:t>
      </w:r>
      <w:r>
        <w:rPr>
          <w:rFonts w:ascii="Century Schoolbook" w:hAnsi="Century Schoolbook"/>
          <w:color w:val="111111"/>
          <w:sz w:val="29"/>
          <w:szCs w:val="29"/>
        </w:rPr>
        <w:t>Popular culture, according to O’Sullivan and Sheridan </w:t>
      </w:r>
      <w:hyperlink r:id="rId53" w:tgtFrame="_blank" w:history="1">
        <w:r>
          <w:rPr>
            <w:rStyle w:val="Hyperlink"/>
            <w:rFonts w:ascii="inherit" w:hAnsi="inherit"/>
            <w:color w:val="000000"/>
            <w:sz w:val="29"/>
            <w:szCs w:val="29"/>
            <w:bdr w:val="none" w:sz="0" w:space="0" w:color="auto" w:frame="1"/>
          </w:rPr>
          <w:t>(1999)</w:t>
        </w:r>
      </w:hyperlink>
      <w:r>
        <w:rPr>
          <w:rFonts w:ascii="Century Schoolbook" w:hAnsi="Century Schoolbook"/>
          <w:color w:val="111111"/>
          <w:sz w:val="29"/>
          <w:szCs w:val="29"/>
        </w:rPr>
        <w:t xml:space="preserve"> also functions in a socio-culture prescriptive nature, where it demonstrates how a women such as Miranda can gain power and career advancement by successfully adopting a masculine professional identity but as a consequence will fail at those area that make her ‘female’.  This prescriptive tale is one that </w:t>
      </w:r>
      <w:proofErr w:type="spellStart"/>
      <w:r>
        <w:rPr>
          <w:rFonts w:ascii="Century Schoolbook" w:hAnsi="Century Schoolbook"/>
          <w:color w:val="111111"/>
          <w:sz w:val="29"/>
          <w:szCs w:val="29"/>
        </w:rPr>
        <w:t>Ezzedeen</w:t>
      </w:r>
      <w:proofErr w:type="spellEnd"/>
      <w:r>
        <w:rPr>
          <w:rFonts w:ascii="Century Schoolbook" w:hAnsi="Century Schoolbook"/>
          <w:color w:val="111111"/>
          <w:sz w:val="29"/>
          <w:szCs w:val="29"/>
        </w:rPr>
        <w:t> </w:t>
      </w:r>
      <w:hyperlink r:id="rId54" w:tgtFrame="_blank" w:history="1">
        <w:r>
          <w:rPr>
            <w:rStyle w:val="Hyperlink"/>
            <w:rFonts w:ascii="inherit" w:hAnsi="inherit"/>
            <w:color w:val="000000"/>
            <w:sz w:val="29"/>
            <w:szCs w:val="29"/>
            <w:bdr w:val="none" w:sz="0" w:space="0" w:color="auto" w:frame="1"/>
          </w:rPr>
          <w:t>(2015) </w:t>
        </w:r>
      </w:hyperlink>
      <w:r>
        <w:rPr>
          <w:rFonts w:ascii="Century Schoolbook" w:hAnsi="Century Schoolbook"/>
          <w:color w:val="111111"/>
          <w:sz w:val="29"/>
          <w:szCs w:val="29"/>
        </w:rPr>
        <w:t>claims continuously arises within popular culture representations of working women. Where, such as with Miranda’s character they attain power in the corporate environment only to experience deteriorating social lives, conveyed through divorces, failure to balance work and life, parenting through substitutes and overcompensation by spoiling children </w:t>
      </w:r>
      <w:hyperlink r:id="rId55" w:tgtFrame="_blank" w:history="1">
        <w:r>
          <w:rPr>
            <w:rStyle w:val="Hyperlink"/>
            <w:rFonts w:ascii="inherit" w:hAnsi="inherit"/>
            <w:color w:val="000000"/>
            <w:sz w:val="29"/>
            <w:szCs w:val="29"/>
            <w:bdr w:val="none" w:sz="0" w:space="0" w:color="auto" w:frame="1"/>
          </w:rPr>
          <w:t>(Barger, 2011; O’Sullivan &amp; Sheridan, 1999)</w:t>
        </w:r>
      </w:hyperlink>
      <w:r>
        <w:rPr>
          <w:rFonts w:ascii="Century Schoolbook" w:hAnsi="Century Schoolbook"/>
          <w:color w:val="111111"/>
          <w:sz w:val="29"/>
          <w:szCs w:val="29"/>
        </w:rPr>
        <w:t>.</w:t>
      </w:r>
    </w:p>
    <w:p w:rsidR="009469AA" w:rsidRDefault="009469AA" w:rsidP="009469AA">
      <w:pPr>
        <w:pStyle w:val="NormalWeb"/>
        <w:shd w:val="clear" w:color="auto" w:fill="FFFFFF"/>
        <w:spacing w:before="0" w:beforeAutospacing="0" w:after="0" w:afterAutospacing="0"/>
        <w:textAlignment w:val="baseline"/>
        <w:rPr>
          <w:rFonts w:ascii="Century Schoolbook" w:hAnsi="Century Schoolbook"/>
          <w:color w:val="111111"/>
          <w:sz w:val="29"/>
          <w:szCs w:val="29"/>
        </w:rPr>
      </w:pPr>
      <w:r>
        <w:rPr>
          <w:rFonts w:ascii="Century Schoolbook" w:hAnsi="Century Schoolbook"/>
          <w:color w:val="111111"/>
          <w:sz w:val="29"/>
          <w:szCs w:val="29"/>
        </w:rPr>
        <w:t>In contrast women who are portrayed in subordinate roles within popular culture can be seen to adopt a number of alternate character traits and identities </w:t>
      </w:r>
      <w:hyperlink r:id="rId56" w:tgtFrame="_blank" w:history="1">
        <w:r>
          <w:rPr>
            <w:rStyle w:val="Hyperlink"/>
            <w:rFonts w:ascii="inherit" w:hAnsi="inherit"/>
            <w:color w:val="000000"/>
            <w:sz w:val="29"/>
            <w:szCs w:val="29"/>
            <w:bdr w:val="none" w:sz="0" w:space="0" w:color="auto" w:frame="1"/>
          </w:rPr>
          <w:t xml:space="preserve">(Barger, 2011; </w:t>
        </w:r>
        <w:proofErr w:type="spellStart"/>
        <w:r>
          <w:rPr>
            <w:rStyle w:val="Hyperlink"/>
            <w:rFonts w:ascii="inherit" w:hAnsi="inherit"/>
            <w:color w:val="000000"/>
            <w:sz w:val="29"/>
            <w:szCs w:val="29"/>
            <w:bdr w:val="none" w:sz="0" w:space="0" w:color="auto" w:frame="1"/>
          </w:rPr>
          <w:t>Ezzedeen</w:t>
        </w:r>
        <w:proofErr w:type="spellEnd"/>
        <w:r>
          <w:rPr>
            <w:rStyle w:val="Hyperlink"/>
            <w:rFonts w:ascii="inherit" w:hAnsi="inherit"/>
            <w:color w:val="000000"/>
            <w:sz w:val="29"/>
            <w:szCs w:val="29"/>
            <w:bdr w:val="none" w:sz="0" w:space="0" w:color="auto" w:frame="1"/>
          </w:rPr>
          <w:t>, 2015)</w:t>
        </w:r>
      </w:hyperlink>
      <w:r>
        <w:rPr>
          <w:rFonts w:ascii="Century Schoolbook" w:hAnsi="Century Schoolbook"/>
          <w:color w:val="111111"/>
          <w:sz w:val="29"/>
          <w:szCs w:val="29"/>
        </w:rPr>
        <w:t>. This is exampled in </w:t>
      </w:r>
      <w:r>
        <w:rPr>
          <w:rStyle w:val="Emphasis"/>
          <w:rFonts w:ascii="inherit" w:hAnsi="inherit"/>
          <w:color w:val="111111"/>
          <w:sz w:val="29"/>
          <w:szCs w:val="29"/>
          <w:bdr w:val="none" w:sz="0" w:space="0" w:color="auto" w:frame="1"/>
        </w:rPr>
        <w:t>The Devil Wears Prada </w:t>
      </w:r>
      <w:r>
        <w:rPr>
          <w:rFonts w:ascii="Century Schoolbook" w:hAnsi="Century Schoolbook"/>
          <w:color w:val="111111"/>
          <w:sz w:val="29"/>
          <w:szCs w:val="29"/>
        </w:rPr>
        <w:t>by the differing representations of Emily and Andy, both Miranda’s assistants, both essentially fulfilling the same role but portrayed as having very different self-identities </w:t>
      </w:r>
      <w:hyperlink r:id="rId57" w:tgtFrame="_blank" w:history="1">
        <w:r>
          <w:rPr>
            <w:rStyle w:val="Hyperlink"/>
            <w:rFonts w:ascii="inherit" w:hAnsi="inherit"/>
            <w:color w:val="000000"/>
            <w:sz w:val="29"/>
            <w:szCs w:val="29"/>
            <w:bdr w:val="none" w:sz="0" w:space="0" w:color="auto" w:frame="1"/>
          </w:rPr>
          <w:t>(Barger, 2011)</w:t>
        </w:r>
      </w:hyperlink>
      <w:r>
        <w:rPr>
          <w:rFonts w:ascii="Century Schoolbook" w:hAnsi="Century Schoolbook"/>
          <w:color w:val="111111"/>
          <w:sz w:val="29"/>
          <w:szCs w:val="29"/>
        </w:rPr>
        <w:t>. Emily’s character identifies with the organisation suggesting that she is shallow and materialistic, only fulfilling her role well to achieve her ultimate goal, accompanying Miranda to the Paris shows and receiving free couture </w:t>
      </w:r>
      <w:hyperlink r:id="rId58" w:tgtFrame="_blank" w:history="1">
        <w:r>
          <w:rPr>
            <w:rStyle w:val="Hyperlink"/>
            <w:rFonts w:ascii="inherit" w:hAnsi="inherit"/>
            <w:color w:val="000000"/>
            <w:sz w:val="29"/>
            <w:szCs w:val="29"/>
            <w:bdr w:val="none" w:sz="0" w:space="0" w:color="auto" w:frame="1"/>
          </w:rPr>
          <w:t>(Barger, 2011)</w:t>
        </w:r>
      </w:hyperlink>
      <w:r>
        <w:rPr>
          <w:rFonts w:ascii="Century Schoolbook" w:hAnsi="Century Schoolbook"/>
          <w:color w:val="111111"/>
          <w:sz w:val="29"/>
          <w:szCs w:val="29"/>
        </w:rPr>
        <w:t>. </w:t>
      </w:r>
      <w:r>
        <w:rPr>
          <w:rFonts w:ascii="Century Schoolbook" w:hAnsi="Century Schoolbook"/>
          <w:color w:val="111111"/>
          <w:sz w:val="29"/>
          <w:szCs w:val="29"/>
        </w:rPr>
        <w:t xml:space="preserve"> </w:t>
      </w:r>
      <w:r>
        <w:rPr>
          <w:rFonts w:ascii="Century Schoolbook" w:hAnsi="Century Schoolbook"/>
          <w:color w:val="111111"/>
          <w:sz w:val="29"/>
          <w:szCs w:val="29"/>
        </w:rPr>
        <w:t xml:space="preserve">Because of how intertwined Emily’s self-identity and job role are she does not experience conflict or </w:t>
      </w:r>
      <w:r>
        <w:rPr>
          <w:rFonts w:ascii="Century Schoolbook" w:hAnsi="Century Schoolbook"/>
          <w:color w:val="111111"/>
          <w:sz w:val="29"/>
          <w:szCs w:val="29"/>
        </w:rPr>
        <w:lastRenderedPageBreak/>
        <w:t>question her dysfunctional workplace, a workplace that expects complete commitment, suppression of bodily functions, sleep and food deprivation, threat of verbal humiliation and the constant monitoring and regulation of appearance </w:t>
      </w:r>
      <w:hyperlink r:id="rId59" w:history="1">
        <w:r>
          <w:rPr>
            <w:rStyle w:val="Hyperlink"/>
            <w:rFonts w:ascii="inherit" w:hAnsi="inherit"/>
            <w:color w:val="000000"/>
            <w:sz w:val="29"/>
            <w:szCs w:val="29"/>
            <w:bdr w:val="none" w:sz="0" w:space="0" w:color="auto" w:frame="1"/>
          </w:rPr>
          <w:t>(Barger, 2011; Trethewey, 1999)</w:t>
        </w:r>
      </w:hyperlink>
      <w:r>
        <w:rPr>
          <w:rFonts w:ascii="Century Schoolbook" w:hAnsi="Century Schoolbook"/>
          <w:color w:val="111111"/>
          <w:sz w:val="29"/>
          <w:szCs w:val="29"/>
        </w:rPr>
        <w:t>. Emily maintains more stereotypical gender traits, striving to achieve the perfect fit between her identity, aesthetics, management of her body and her job role, ultimately resulting in workplace satisfaction for her character </w:t>
      </w:r>
      <w:hyperlink r:id="rId60" w:history="1">
        <w:r>
          <w:rPr>
            <w:rStyle w:val="Hyperlink"/>
            <w:rFonts w:ascii="inherit" w:hAnsi="inherit"/>
            <w:color w:val="000000"/>
            <w:sz w:val="29"/>
            <w:szCs w:val="29"/>
            <w:bdr w:val="none" w:sz="0" w:space="0" w:color="auto" w:frame="1"/>
          </w:rPr>
          <w:t>(Barger, 2011; Trethewey, 1999)</w:t>
        </w:r>
      </w:hyperlink>
      <w:r>
        <w:rPr>
          <w:rFonts w:ascii="Century Schoolbook" w:hAnsi="Century Schoolbook"/>
          <w:color w:val="111111"/>
          <w:sz w:val="29"/>
          <w:szCs w:val="29"/>
        </w:rPr>
        <w:t>. Trethewey </w:t>
      </w:r>
      <w:hyperlink r:id="rId61" w:tgtFrame="_blank" w:history="1">
        <w:r>
          <w:rPr>
            <w:rStyle w:val="Hyperlink"/>
            <w:rFonts w:ascii="inherit" w:hAnsi="inherit"/>
            <w:color w:val="000000"/>
            <w:sz w:val="29"/>
            <w:szCs w:val="29"/>
            <w:bdr w:val="none" w:sz="0" w:space="0" w:color="auto" w:frame="1"/>
          </w:rPr>
          <w:t>(1999)</w:t>
        </w:r>
      </w:hyperlink>
      <w:r>
        <w:rPr>
          <w:rFonts w:ascii="Century Schoolbook" w:hAnsi="Century Schoolbook"/>
          <w:color w:val="111111"/>
          <w:sz w:val="29"/>
          <w:szCs w:val="29"/>
        </w:rPr>
        <w:t xml:space="preserve"> theorises that the aesthetic and bodily disciplines demonstrated by Emily’s character including dieting, regulation of dress and makeup are resulting </w:t>
      </w:r>
      <w:r>
        <w:rPr>
          <w:rFonts w:ascii="Century Schoolbook" w:hAnsi="Century Schoolbook"/>
          <w:color w:val="111111"/>
          <w:sz w:val="29"/>
          <w:szCs w:val="29"/>
        </w:rPr>
        <w:t xml:space="preserve">in women’s bodies becoming more </w:t>
      </w:r>
      <w:r>
        <w:rPr>
          <w:rFonts w:ascii="Century Schoolbook" w:hAnsi="Century Schoolbook"/>
          <w:color w:val="111111"/>
          <w:sz w:val="29"/>
          <w:szCs w:val="29"/>
        </w:rPr>
        <w:t>docile. </w:t>
      </w:r>
      <w:r>
        <w:rPr>
          <w:rFonts w:ascii="Century Schoolbook" w:hAnsi="Century Schoolbook"/>
          <w:color w:val="111111"/>
          <w:sz w:val="29"/>
          <w:szCs w:val="29"/>
        </w:rPr>
        <w:t xml:space="preserve"> </w:t>
      </w:r>
      <w:r>
        <w:rPr>
          <w:rFonts w:ascii="Century Schoolbook" w:hAnsi="Century Schoolbook"/>
          <w:color w:val="111111"/>
          <w:sz w:val="29"/>
          <w:szCs w:val="29"/>
        </w:rPr>
        <w:t>Acting in a way that suggests they are always being “seen by another, by an anonymous patriarchal Other” rendering women less socially orientated and less involved in the political circumstances of their lives </w:t>
      </w:r>
      <w:hyperlink r:id="rId62" w:tgtFrame="_blank" w:history="1">
        <w:r>
          <w:rPr>
            <w:rStyle w:val="Hyperlink"/>
            <w:rFonts w:ascii="inherit" w:hAnsi="inherit"/>
            <w:color w:val="000000"/>
            <w:sz w:val="29"/>
            <w:szCs w:val="29"/>
            <w:bdr w:val="none" w:sz="0" w:space="0" w:color="auto" w:frame="1"/>
          </w:rPr>
          <w:t>(Trethewey, 1999, p.425)</w:t>
        </w:r>
      </w:hyperlink>
      <w:r>
        <w:rPr>
          <w:rFonts w:ascii="Century Schoolbook" w:hAnsi="Century Schoolbook"/>
          <w:color w:val="111111"/>
          <w:sz w:val="29"/>
          <w:szCs w:val="29"/>
        </w:rPr>
        <w:t xml:space="preserve">. </w:t>
      </w:r>
      <w:proofErr w:type="spellStart"/>
      <w:r>
        <w:rPr>
          <w:rFonts w:ascii="Century Schoolbook" w:hAnsi="Century Schoolbook"/>
          <w:color w:val="111111"/>
          <w:sz w:val="29"/>
          <w:szCs w:val="29"/>
        </w:rPr>
        <w:t>Ezzedeen</w:t>
      </w:r>
      <w:proofErr w:type="spellEnd"/>
      <w:r>
        <w:rPr>
          <w:rFonts w:ascii="Century Schoolbook" w:hAnsi="Century Schoolbook"/>
          <w:color w:val="111111"/>
          <w:sz w:val="29"/>
          <w:szCs w:val="29"/>
        </w:rPr>
        <w:t> </w:t>
      </w:r>
      <w:hyperlink r:id="rId63" w:tgtFrame="_blank" w:history="1">
        <w:r>
          <w:rPr>
            <w:rStyle w:val="Hyperlink"/>
            <w:rFonts w:ascii="inherit" w:hAnsi="inherit"/>
            <w:color w:val="000000"/>
            <w:sz w:val="29"/>
            <w:szCs w:val="29"/>
            <w:bdr w:val="none" w:sz="0" w:space="0" w:color="auto" w:frame="1"/>
          </w:rPr>
          <w:t>(2015) </w:t>
        </w:r>
      </w:hyperlink>
      <w:r>
        <w:rPr>
          <w:rFonts w:ascii="Century Schoolbook" w:hAnsi="Century Schoolbook"/>
          <w:color w:val="111111"/>
          <w:sz w:val="29"/>
          <w:szCs w:val="29"/>
        </w:rPr>
        <w:t>suggests this ‘ideal’ of femineity can be seen throughout numerous forms or popular culture in varying forms and although Andy’s character seems to challenge the traditional normative view provided by Emily’s character, she actually simply provides an alternate prescriptive narrative for women in the workforce.</w:t>
      </w:r>
    </w:p>
    <w:p w:rsidR="009469AA" w:rsidRDefault="009469AA" w:rsidP="009469AA">
      <w:pPr>
        <w:pStyle w:val="NormalWeb"/>
        <w:shd w:val="clear" w:color="auto" w:fill="FFFFFF"/>
        <w:spacing w:before="0" w:beforeAutospacing="0" w:after="0" w:afterAutospacing="0"/>
        <w:textAlignment w:val="baseline"/>
        <w:rPr>
          <w:rFonts w:ascii="Century Schoolbook" w:hAnsi="Century Schoolbook"/>
          <w:color w:val="111111"/>
          <w:sz w:val="29"/>
          <w:szCs w:val="29"/>
        </w:rPr>
      </w:pPr>
      <w:r>
        <w:rPr>
          <w:rFonts w:ascii="Century Schoolbook" w:hAnsi="Century Schoolbook"/>
          <w:color w:val="111111"/>
          <w:sz w:val="29"/>
          <w:szCs w:val="29"/>
        </w:rPr>
        <w:t>As discussed in </w:t>
      </w:r>
      <w:hyperlink r:id="rId64" w:tgtFrame="_blank" w:history="1">
        <w:r>
          <w:rPr>
            <w:rStyle w:val="Hyperlink"/>
            <w:rFonts w:ascii="inherit" w:hAnsi="inherit"/>
            <w:b/>
            <w:bCs/>
            <w:color w:val="000000"/>
            <w:sz w:val="29"/>
            <w:szCs w:val="29"/>
            <w:bdr w:val="none" w:sz="0" w:space="0" w:color="auto" w:frame="1"/>
          </w:rPr>
          <w:t>Idealised Identities </w:t>
        </w:r>
      </w:hyperlink>
      <w:r>
        <w:rPr>
          <w:rFonts w:ascii="Century Schoolbook" w:hAnsi="Century Schoolbook"/>
          <w:color w:val="111111"/>
          <w:sz w:val="29"/>
          <w:szCs w:val="29"/>
        </w:rPr>
        <w:t xml:space="preserve">Andy experience conflict between the development of her professional and </w:t>
      </w:r>
      <w:proofErr w:type="spellStart"/>
      <w:r>
        <w:rPr>
          <w:rFonts w:ascii="Century Schoolbook" w:hAnsi="Century Schoolbook"/>
          <w:color w:val="111111"/>
          <w:sz w:val="29"/>
          <w:szCs w:val="29"/>
        </w:rPr>
        <w:t>self identities</w:t>
      </w:r>
      <w:proofErr w:type="spellEnd"/>
      <w:r>
        <w:rPr>
          <w:rFonts w:ascii="Century Schoolbook" w:hAnsi="Century Schoolbook"/>
          <w:color w:val="111111"/>
          <w:sz w:val="29"/>
          <w:szCs w:val="29"/>
        </w:rPr>
        <w:t>. This conflict stems between the professional identity, that is conducive with her rise in power within her job role and her previous self-identity, which aligned with her social life and relationships external to </w:t>
      </w:r>
      <w:r>
        <w:rPr>
          <w:rStyle w:val="Emphasis"/>
          <w:rFonts w:ascii="inherit" w:hAnsi="inherit"/>
          <w:color w:val="111111"/>
          <w:sz w:val="29"/>
          <w:szCs w:val="29"/>
          <w:bdr w:val="none" w:sz="0" w:space="0" w:color="auto" w:frame="1"/>
        </w:rPr>
        <w:t>Runway. </w:t>
      </w:r>
      <w:r>
        <w:rPr>
          <w:rFonts w:ascii="Century Schoolbook" w:hAnsi="Century Schoolbook"/>
          <w:color w:val="111111"/>
          <w:sz w:val="29"/>
          <w:szCs w:val="29"/>
        </w:rPr>
        <w:t>Barger </w:t>
      </w:r>
      <w:hyperlink r:id="rId65" w:tgtFrame="_blank" w:history="1">
        <w:r>
          <w:rPr>
            <w:rStyle w:val="Hyperlink"/>
            <w:rFonts w:ascii="inherit" w:hAnsi="inherit"/>
            <w:color w:val="000000"/>
            <w:sz w:val="29"/>
            <w:szCs w:val="29"/>
            <w:bdr w:val="none" w:sz="0" w:space="0" w:color="auto" w:frame="1"/>
          </w:rPr>
          <w:t>(2011) </w:t>
        </w:r>
      </w:hyperlink>
      <w:r>
        <w:rPr>
          <w:rFonts w:ascii="Century Schoolbook" w:hAnsi="Century Schoolbook"/>
          <w:color w:val="111111"/>
          <w:sz w:val="29"/>
          <w:szCs w:val="29"/>
        </w:rPr>
        <w:t>suggests that the scenario played out in </w:t>
      </w:r>
      <w:r>
        <w:rPr>
          <w:rStyle w:val="Emphasis"/>
          <w:rFonts w:ascii="inherit" w:hAnsi="inherit"/>
          <w:color w:val="111111"/>
          <w:sz w:val="29"/>
          <w:szCs w:val="29"/>
          <w:bdr w:val="none" w:sz="0" w:space="0" w:color="auto" w:frame="1"/>
        </w:rPr>
        <w:t>The Devil Wears Prada </w:t>
      </w:r>
      <w:r>
        <w:rPr>
          <w:rFonts w:ascii="Century Schoolbook" w:hAnsi="Century Schoolbook"/>
          <w:color w:val="111111"/>
          <w:sz w:val="29"/>
          <w:szCs w:val="29"/>
        </w:rPr>
        <w:t xml:space="preserve">demonstrates how a postfeminist film that seems to support equal opportunities in the workplace, actually re-establishes traditional gendered ideas about the inability to have both power and love. Andy’s developing professional identity mirrors that of </w:t>
      </w:r>
      <w:proofErr w:type="spellStart"/>
      <w:r>
        <w:rPr>
          <w:rFonts w:ascii="Century Schoolbook" w:hAnsi="Century Schoolbook"/>
          <w:color w:val="111111"/>
          <w:sz w:val="29"/>
          <w:szCs w:val="29"/>
        </w:rPr>
        <w:t>of</w:t>
      </w:r>
      <w:proofErr w:type="spellEnd"/>
      <w:r>
        <w:rPr>
          <w:rFonts w:ascii="Century Schoolbook" w:hAnsi="Century Schoolbook"/>
          <w:color w:val="111111"/>
          <w:sz w:val="29"/>
          <w:szCs w:val="29"/>
        </w:rPr>
        <w:t xml:space="preserve"> Miranda’s, demonstrating the ability to rise in power when conforming to organisational ideals and adopting character traits traditionally seen to be masculine such as being ‘cut-throat’, aggressive and tough </w:t>
      </w:r>
      <w:hyperlink r:id="rId66" w:tgtFrame="_blank" w:history="1">
        <w:r>
          <w:rPr>
            <w:rStyle w:val="Hyperlink"/>
            <w:rFonts w:ascii="inherit" w:hAnsi="inherit"/>
            <w:color w:val="000000"/>
            <w:sz w:val="29"/>
            <w:szCs w:val="29"/>
            <w:bdr w:val="none" w:sz="0" w:space="0" w:color="auto" w:frame="1"/>
          </w:rPr>
          <w:t>(O’Sullivan &amp; Sheridan, 1999)</w:t>
        </w:r>
      </w:hyperlink>
      <w:r>
        <w:rPr>
          <w:rFonts w:ascii="Century Schoolbook" w:hAnsi="Century Schoolbook"/>
          <w:color w:val="111111"/>
          <w:sz w:val="29"/>
          <w:szCs w:val="29"/>
        </w:rPr>
        <w:t>. </w:t>
      </w:r>
      <w:r>
        <w:rPr>
          <w:rFonts w:ascii="Century Schoolbook" w:hAnsi="Century Schoolbook"/>
          <w:color w:val="111111"/>
          <w:sz w:val="29"/>
          <w:szCs w:val="29"/>
        </w:rPr>
        <w:t xml:space="preserve"> </w:t>
      </w:r>
      <w:r>
        <w:rPr>
          <w:rFonts w:ascii="Century Schoolbook" w:hAnsi="Century Schoolbook"/>
          <w:color w:val="111111"/>
          <w:sz w:val="29"/>
          <w:szCs w:val="29"/>
        </w:rPr>
        <w:br/>
        <w:t xml:space="preserve">In contrast the more power Andy attains the more themes of isolation and unpleasantness develop, suggesting women are unable to balance work-life commitments as well as men </w:t>
      </w:r>
      <w:r>
        <w:rPr>
          <w:rFonts w:ascii="Century Schoolbook" w:hAnsi="Century Schoolbook"/>
          <w:color w:val="111111"/>
          <w:sz w:val="29"/>
          <w:szCs w:val="29"/>
        </w:rPr>
        <w:lastRenderedPageBreak/>
        <w:t>can </w:t>
      </w:r>
      <w:hyperlink r:id="rId67"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Ezzedeen</w:t>
        </w:r>
        <w:proofErr w:type="spellEnd"/>
        <w:r>
          <w:rPr>
            <w:rStyle w:val="Hyperlink"/>
            <w:rFonts w:ascii="inherit" w:hAnsi="inherit"/>
            <w:color w:val="000000"/>
            <w:sz w:val="29"/>
            <w:szCs w:val="29"/>
            <w:bdr w:val="none" w:sz="0" w:space="0" w:color="auto" w:frame="1"/>
          </w:rPr>
          <w:t>, 2015)</w:t>
        </w:r>
      </w:hyperlink>
      <w:r>
        <w:rPr>
          <w:rFonts w:ascii="Century Schoolbook" w:hAnsi="Century Schoolbook"/>
          <w:color w:val="111111"/>
          <w:sz w:val="29"/>
          <w:szCs w:val="29"/>
        </w:rPr>
        <w:t>. Eventually Andy solves the conflict between her identities by leaving her position, in the film this also reunites her with the boyfriend who wasn’t compatible with her rise in corporate power, suggesting that she made a choice between power and love because she was unable to successfully have both </w:t>
      </w:r>
      <w:hyperlink r:id="rId68" w:tgtFrame="_blank" w:history="1">
        <w:r>
          <w:rPr>
            <w:rStyle w:val="Hyperlink"/>
            <w:rFonts w:ascii="inherit" w:hAnsi="inherit"/>
            <w:color w:val="000000"/>
            <w:sz w:val="29"/>
            <w:szCs w:val="29"/>
            <w:bdr w:val="none" w:sz="0" w:space="0" w:color="auto" w:frame="1"/>
          </w:rPr>
          <w:t>(Barger, 2011)</w:t>
        </w:r>
      </w:hyperlink>
      <w:r>
        <w:rPr>
          <w:rFonts w:ascii="Century Schoolbook" w:hAnsi="Century Schoolbook"/>
          <w:color w:val="111111"/>
          <w:sz w:val="29"/>
          <w:szCs w:val="29"/>
        </w:rPr>
        <w:t>. The storyline found within </w:t>
      </w:r>
      <w:r>
        <w:rPr>
          <w:rStyle w:val="Emphasis"/>
          <w:rFonts w:ascii="inherit" w:hAnsi="inherit"/>
          <w:color w:val="111111"/>
          <w:sz w:val="29"/>
          <w:szCs w:val="29"/>
          <w:bdr w:val="none" w:sz="0" w:space="0" w:color="auto" w:frame="1"/>
        </w:rPr>
        <w:t>The Devil Wears Prada </w:t>
      </w:r>
      <w:r>
        <w:rPr>
          <w:rFonts w:ascii="Century Schoolbook" w:hAnsi="Century Schoolbook"/>
          <w:color w:val="111111"/>
          <w:sz w:val="29"/>
          <w:szCs w:val="29"/>
        </w:rPr>
        <w:t xml:space="preserve">ultimately supports </w:t>
      </w:r>
      <w:proofErr w:type="spellStart"/>
      <w:r>
        <w:rPr>
          <w:rFonts w:ascii="Century Schoolbook" w:hAnsi="Century Schoolbook"/>
          <w:color w:val="111111"/>
          <w:sz w:val="29"/>
          <w:szCs w:val="29"/>
        </w:rPr>
        <w:t>Ezzedeen’s</w:t>
      </w:r>
      <w:proofErr w:type="spellEnd"/>
      <w:r>
        <w:rPr>
          <w:rFonts w:ascii="Century Schoolbook" w:hAnsi="Century Schoolbook"/>
          <w:color w:val="111111"/>
          <w:sz w:val="29"/>
          <w:szCs w:val="29"/>
        </w:rPr>
        <w:t> </w:t>
      </w:r>
      <w:hyperlink r:id="rId69" w:tgtFrame="_blank" w:history="1">
        <w:r>
          <w:rPr>
            <w:rStyle w:val="Hyperlink"/>
            <w:rFonts w:ascii="inherit" w:hAnsi="inherit"/>
            <w:color w:val="000000"/>
            <w:sz w:val="29"/>
            <w:szCs w:val="29"/>
            <w:bdr w:val="none" w:sz="0" w:space="0" w:color="auto" w:frame="1"/>
          </w:rPr>
          <w:t>(2015)</w:t>
        </w:r>
      </w:hyperlink>
      <w:r>
        <w:rPr>
          <w:rFonts w:ascii="Century Schoolbook" w:hAnsi="Century Schoolbook"/>
          <w:color w:val="111111"/>
          <w:sz w:val="29"/>
          <w:szCs w:val="29"/>
        </w:rPr>
        <w:t> claim that popular culture is still dominantly offering prescriptive narratives of women within the workforce who either conform to traditional gender norms of identity and power in organisations, or of “women who fail at being women” because they choose success </w:t>
      </w:r>
      <w:hyperlink r:id="rId70" w:tgtFrame="_blank" w:history="1">
        <w:r>
          <w:rPr>
            <w:rStyle w:val="Hyperlink"/>
            <w:rFonts w:ascii="inherit" w:hAnsi="inherit"/>
            <w:color w:val="000000"/>
            <w:sz w:val="29"/>
            <w:szCs w:val="29"/>
            <w:bdr w:val="none" w:sz="0" w:space="0" w:color="auto" w:frame="1"/>
          </w:rPr>
          <w:t>(</w:t>
        </w:r>
        <w:proofErr w:type="spellStart"/>
        <w:r>
          <w:rPr>
            <w:rStyle w:val="Hyperlink"/>
            <w:rFonts w:ascii="inherit" w:hAnsi="inherit"/>
            <w:color w:val="000000"/>
            <w:sz w:val="29"/>
            <w:szCs w:val="29"/>
            <w:bdr w:val="none" w:sz="0" w:space="0" w:color="auto" w:frame="1"/>
          </w:rPr>
          <w:t>Ezzedeen</w:t>
        </w:r>
        <w:proofErr w:type="spellEnd"/>
        <w:r>
          <w:rPr>
            <w:rStyle w:val="Hyperlink"/>
            <w:rFonts w:ascii="inherit" w:hAnsi="inherit"/>
            <w:color w:val="000000"/>
            <w:sz w:val="29"/>
            <w:szCs w:val="29"/>
            <w:bdr w:val="none" w:sz="0" w:space="0" w:color="auto" w:frame="1"/>
          </w:rPr>
          <w:t>, 2015, p.251)</w:t>
        </w:r>
      </w:hyperlink>
      <w:r>
        <w:rPr>
          <w:rFonts w:ascii="Century Schoolbook" w:hAnsi="Century Schoolbook"/>
          <w:color w:val="111111"/>
          <w:sz w:val="29"/>
          <w:szCs w:val="29"/>
        </w:rPr>
        <w:t>. O’Sullivan and Sheridan summarise it well in their statement “the clothes you wear express social values just as the films you watch communicate social values”, a particularly relevant assertion given the popular culture reference’s subject matter </w:t>
      </w:r>
      <w:hyperlink r:id="rId71" w:tgtFrame="_blank" w:history="1">
        <w:r>
          <w:rPr>
            <w:rStyle w:val="Hyperlink"/>
            <w:rFonts w:ascii="inherit" w:hAnsi="inherit"/>
            <w:color w:val="000000"/>
            <w:sz w:val="29"/>
            <w:szCs w:val="29"/>
            <w:bdr w:val="none" w:sz="0" w:space="0" w:color="auto" w:frame="1"/>
          </w:rPr>
          <w:t>(O’Sullivan &amp; Sheridan, 1999, p.18)</w:t>
        </w:r>
      </w:hyperlink>
      <w:r>
        <w:rPr>
          <w:rFonts w:ascii="Century Schoolbook" w:hAnsi="Century Schoolbook"/>
          <w:color w:val="111111"/>
          <w:sz w:val="29"/>
          <w:szCs w:val="29"/>
        </w:rPr>
        <w:t>.</w:t>
      </w:r>
    </w:p>
    <w:p w:rsidR="009469AA" w:rsidRDefault="009469AA" w:rsidP="009469AA">
      <w:pPr>
        <w:pStyle w:val="NormalWeb"/>
        <w:shd w:val="clear" w:color="auto" w:fill="FFFFFF"/>
        <w:spacing w:before="0" w:beforeAutospacing="0" w:after="432" w:afterAutospacing="0"/>
        <w:textAlignment w:val="baseline"/>
        <w:rPr>
          <w:rFonts w:ascii="Century Schoolbook" w:hAnsi="Century Schoolbook"/>
          <w:color w:val="111111"/>
          <w:sz w:val="29"/>
          <w:szCs w:val="29"/>
        </w:rPr>
      </w:pPr>
    </w:p>
    <w:p w:rsidR="009469AA" w:rsidRPr="0070263E" w:rsidRDefault="009469AA" w:rsidP="0070263E">
      <w:pPr>
        <w:shd w:val="clear" w:color="auto" w:fill="FFFFFF"/>
        <w:textAlignment w:val="baseline"/>
        <w:rPr>
          <w:rFonts w:ascii="Century Schoolbook" w:eastAsia="Times New Roman" w:hAnsi="Century Schoolbook" w:cs="Times New Roman"/>
          <w:color w:val="111111"/>
          <w:sz w:val="29"/>
          <w:szCs w:val="29"/>
        </w:rPr>
      </w:pPr>
    </w:p>
    <w:p w:rsidR="0070263E" w:rsidRPr="0070263E" w:rsidRDefault="0070263E">
      <w:pPr>
        <w:rPr>
          <w:rFonts w:ascii="Times New Roman" w:eastAsia="Times New Roman" w:hAnsi="Times New Roman" w:cs="Times New Roman"/>
        </w:rPr>
      </w:pPr>
    </w:p>
    <w:sectPr w:rsidR="0070263E" w:rsidRPr="0070263E"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957513"/>
    <w:multiLevelType w:val="hybridMultilevel"/>
    <w:tmpl w:val="51B05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3E"/>
    <w:rsid w:val="0070263E"/>
    <w:rsid w:val="008901D6"/>
    <w:rsid w:val="009469AA"/>
    <w:rsid w:val="00BF690F"/>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E597"/>
  <w15:chartTrackingRefBased/>
  <w15:docId w15:val="{71E8963F-54BD-5D4E-B266-F1DAFD20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0263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0263E"/>
    <w:rPr>
      <w:i/>
      <w:iCs/>
    </w:rPr>
  </w:style>
  <w:style w:type="character" w:styleId="Hyperlink">
    <w:name w:val="Hyperlink"/>
    <w:basedOn w:val="DefaultParagraphFont"/>
    <w:uiPriority w:val="99"/>
    <w:semiHidden/>
    <w:unhideWhenUsed/>
    <w:rsid w:val="0070263E"/>
    <w:rPr>
      <w:color w:val="0000FF"/>
      <w:u w:val="single"/>
    </w:rPr>
  </w:style>
  <w:style w:type="character" w:customStyle="1" w:styleId="Heading1Char">
    <w:name w:val="Heading 1 Char"/>
    <w:basedOn w:val="DefaultParagraphFont"/>
    <w:link w:val="Heading1"/>
    <w:uiPriority w:val="9"/>
    <w:rsid w:val="0070263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70263E"/>
    <w:pPr>
      <w:ind w:left="720"/>
      <w:contextualSpacing/>
    </w:pPr>
  </w:style>
  <w:style w:type="paragraph" w:styleId="NormalWeb">
    <w:name w:val="Normal (Web)"/>
    <w:basedOn w:val="Normal"/>
    <w:uiPriority w:val="99"/>
    <w:semiHidden/>
    <w:unhideWhenUsed/>
    <w:rsid w:val="0070263E"/>
    <w:pPr>
      <w:spacing w:before="100" w:beforeAutospacing="1" w:after="100" w:afterAutospacing="1"/>
    </w:pPr>
    <w:rPr>
      <w:rFonts w:ascii="Times New Roman" w:eastAsia="Times New Roman" w:hAnsi="Times New Roman" w:cs="Times New Roman"/>
    </w:rPr>
  </w:style>
  <w:style w:type="paragraph" w:customStyle="1" w:styleId="wp-caption-text">
    <w:name w:val="wp-caption-text"/>
    <w:basedOn w:val="Normal"/>
    <w:rsid w:val="0070263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469AA"/>
    <w:rPr>
      <w:b/>
      <w:bCs/>
    </w:rPr>
  </w:style>
  <w:style w:type="character" w:styleId="FollowedHyperlink">
    <w:name w:val="FollowedHyperlink"/>
    <w:basedOn w:val="DefaultParagraphFont"/>
    <w:uiPriority w:val="99"/>
    <w:semiHidden/>
    <w:unhideWhenUsed/>
    <w:rsid w:val="009469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506916">
      <w:bodyDiv w:val="1"/>
      <w:marLeft w:val="0"/>
      <w:marRight w:val="0"/>
      <w:marTop w:val="0"/>
      <w:marBottom w:val="0"/>
      <w:divBdr>
        <w:top w:val="none" w:sz="0" w:space="0" w:color="auto"/>
        <w:left w:val="none" w:sz="0" w:space="0" w:color="auto"/>
        <w:bottom w:val="none" w:sz="0" w:space="0" w:color="auto"/>
        <w:right w:val="none" w:sz="0" w:space="0" w:color="auto"/>
      </w:divBdr>
    </w:div>
    <w:div w:id="580598537">
      <w:bodyDiv w:val="1"/>
      <w:marLeft w:val="0"/>
      <w:marRight w:val="0"/>
      <w:marTop w:val="0"/>
      <w:marBottom w:val="0"/>
      <w:divBdr>
        <w:top w:val="none" w:sz="0" w:space="0" w:color="auto"/>
        <w:left w:val="none" w:sz="0" w:space="0" w:color="auto"/>
        <w:bottom w:val="none" w:sz="0" w:space="0" w:color="auto"/>
        <w:right w:val="none" w:sz="0" w:space="0" w:color="auto"/>
      </w:divBdr>
    </w:div>
    <w:div w:id="740299199">
      <w:bodyDiv w:val="1"/>
      <w:marLeft w:val="0"/>
      <w:marRight w:val="0"/>
      <w:marTop w:val="0"/>
      <w:marBottom w:val="0"/>
      <w:divBdr>
        <w:top w:val="none" w:sz="0" w:space="0" w:color="auto"/>
        <w:left w:val="none" w:sz="0" w:space="0" w:color="auto"/>
        <w:bottom w:val="none" w:sz="0" w:space="0" w:color="auto"/>
        <w:right w:val="none" w:sz="0" w:space="0" w:color="auto"/>
      </w:divBdr>
      <w:divsChild>
        <w:div w:id="1418791914">
          <w:marLeft w:val="0"/>
          <w:marRight w:val="0"/>
          <w:marTop w:val="432"/>
          <w:marBottom w:val="0"/>
          <w:divBdr>
            <w:top w:val="none" w:sz="0" w:space="0" w:color="auto"/>
            <w:left w:val="none" w:sz="0" w:space="0" w:color="auto"/>
            <w:bottom w:val="none" w:sz="0" w:space="0" w:color="auto"/>
            <w:right w:val="none" w:sz="0" w:space="0" w:color="auto"/>
          </w:divBdr>
        </w:div>
      </w:divsChild>
    </w:div>
    <w:div w:id="800881200">
      <w:bodyDiv w:val="1"/>
      <w:marLeft w:val="0"/>
      <w:marRight w:val="0"/>
      <w:marTop w:val="0"/>
      <w:marBottom w:val="0"/>
      <w:divBdr>
        <w:top w:val="none" w:sz="0" w:space="0" w:color="auto"/>
        <w:left w:val="none" w:sz="0" w:space="0" w:color="auto"/>
        <w:bottom w:val="none" w:sz="0" w:space="0" w:color="auto"/>
        <w:right w:val="none" w:sz="0" w:space="0" w:color="auto"/>
      </w:divBdr>
    </w:div>
    <w:div w:id="865993193">
      <w:bodyDiv w:val="1"/>
      <w:marLeft w:val="0"/>
      <w:marRight w:val="0"/>
      <w:marTop w:val="0"/>
      <w:marBottom w:val="0"/>
      <w:divBdr>
        <w:top w:val="none" w:sz="0" w:space="0" w:color="auto"/>
        <w:left w:val="none" w:sz="0" w:space="0" w:color="auto"/>
        <w:bottom w:val="none" w:sz="0" w:space="0" w:color="auto"/>
        <w:right w:val="none" w:sz="0" w:space="0" w:color="auto"/>
      </w:divBdr>
    </w:div>
    <w:div w:id="1440565826">
      <w:bodyDiv w:val="1"/>
      <w:marLeft w:val="0"/>
      <w:marRight w:val="0"/>
      <w:marTop w:val="0"/>
      <w:marBottom w:val="0"/>
      <w:divBdr>
        <w:top w:val="none" w:sz="0" w:space="0" w:color="auto"/>
        <w:left w:val="none" w:sz="0" w:space="0" w:color="auto"/>
        <w:bottom w:val="none" w:sz="0" w:space="0" w:color="auto"/>
        <w:right w:val="none" w:sz="0" w:space="0" w:color="auto"/>
      </w:divBdr>
      <w:divsChild>
        <w:div w:id="948313693">
          <w:marLeft w:val="0"/>
          <w:marRight w:val="0"/>
          <w:marTop w:val="432"/>
          <w:marBottom w:val="0"/>
          <w:divBdr>
            <w:top w:val="none" w:sz="0" w:space="0" w:color="auto"/>
            <w:left w:val="none" w:sz="0" w:space="0" w:color="auto"/>
            <w:bottom w:val="none" w:sz="0" w:space="0" w:color="auto"/>
            <w:right w:val="none" w:sz="0" w:space="0" w:color="auto"/>
          </w:divBdr>
        </w:div>
      </w:divsChild>
    </w:div>
    <w:div w:id="1605067756">
      <w:bodyDiv w:val="1"/>
      <w:marLeft w:val="0"/>
      <w:marRight w:val="0"/>
      <w:marTop w:val="0"/>
      <w:marBottom w:val="0"/>
      <w:divBdr>
        <w:top w:val="none" w:sz="0" w:space="0" w:color="auto"/>
        <w:left w:val="none" w:sz="0" w:space="0" w:color="auto"/>
        <w:bottom w:val="none" w:sz="0" w:space="0" w:color="auto"/>
        <w:right w:val="none" w:sz="0" w:space="0" w:color="auto"/>
      </w:divBdr>
    </w:div>
    <w:div w:id="2012566188">
      <w:bodyDiv w:val="1"/>
      <w:marLeft w:val="0"/>
      <w:marRight w:val="0"/>
      <w:marTop w:val="0"/>
      <w:marBottom w:val="0"/>
      <w:divBdr>
        <w:top w:val="none" w:sz="0" w:space="0" w:color="auto"/>
        <w:left w:val="none" w:sz="0" w:space="0" w:color="auto"/>
        <w:bottom w:val="none" w:sz="0" w:space="0" w:color="auto"/>
        <w:right w:val="none" w:sz="0" w:space="0" w:color="auto"/>
      </w:divBdr>
      <w:divsChild>
        <w:div w:id="109321755">
          <w:marLeft w:val="0"/>
          <w:marRight w:val="432"/>
          <w:marTop w:val="216"/>
          <w:marBottom w:val="21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orkandpopculture.wordpress.com/references/" TargetMode="External"/><Relationship Id="rId21" Type="http://schemas.openxmlformats.org/officeDocument/2006/relationships/hyperlink" Target="https://workandpopculture.wordpress.com/references/" TargetMode="External"/><Relationship Id="rId42" Type="http://schemas.openxmlformats.org/officeDocument/2006/relationships/hyperlink" Target="https://workandpopculture.wordpress.com/references/" TargetMode="External"/><Relationship Id="rId47" Type="http://schemas.openxmlformats.org/officeDocument/2006/relationships/hyperlink" Target="https://workandpopculture.wordpress.com/references/" TargetMode="External"/><Relationship Id="rId63" Type="http://schemas.openxmlformats.org/officeDocument/2006/relationships/hyperlink" Target="https://workandpopculture.wordpress.com/references/" TargetMode="External"/><Relationship Id="rId68" Type="http://schemas.openxmlformats.org/officeDocument/2006/relationships/hyperlink" Target="https://workandpopculture.wordpress.com/references/" TargetMode="External"/><Relationship Id="rId2" Type="http://schemas.openxmlformats.org/officeDocument/2006/relationships/numbering" Target="numbering.xml"/><Relationship Id="rId16" Type="http://schemas.openxmlformats.org/officeDocument/2006/relationships/hyperlink" Target="https://workandpopculture.wordpress.com/references/" TargetMode="External"/><Relationship Id="rId29" Type="http://schemas.openxmlformats.org/officeDocument/2006/relationships/hyperlink" Target="https://workandpopculture.wordpress.com/references/" TargetMode="External"/><Relationship Id="rId11" Type="http://schemas.openxmlformats.org/officeDocument/2006/relationships/hyperlink" Target="https://workandpopculture.wordpress.com/references/" TargetMode="External"/><Relationship Id="rId24" Type="http://schemas.openxmlformats.org/officeDocument/2006/relationships/hyperlink" Target="https://workandpopculture.wordpress.com/references/" TargetMode="External"/><Relationship Id="rId32" Type="http://schemas.openxmlformats.org/officeDocument/2006/relationships/hyperlink" Target="https://workandpopculture.wordpress.com/references/" TargetMode="External"/><Relationship Id="rId37" Type="http://schemas.openxmlformats.org/officeDocument/2006/relationships/hyperlink" Target="https://workandpopculture.wordpress.com/references/" TargetMode="External"/><Relationship Id="rId40" Type="http://schemas.openxmlformats.org/officeDocument/2006/relationships/hyperlink" Target="https://workandpopculture.wordpress.com/references/" TargetMode="External"/><Relationship Id="rId45" Type="http://schemas.openxmlformats.org/officeDocument/2006/relationships/hyperlink" Target="https://workandpopculture.wordpress.com/references/" TargetMode="External"/><Relationship Id="rId53" Type="http://schemas.openxmlformats.org/officeDocument/2006/relationships/hyperlink" Target="https://workandpopculture.wordpress.com/references/" TargetMode="External"/><Relationship Id="rId58" Type="http://schemas.openxmlformats.org/officeDocument/2006/relationships/hyperlink" Target="https://workandpopculture.wordpress.com/references/" TargetMode="External"/><Relationship Id="rId66" Type="http://schemas.openxmlformats.org/officeDocument/2006/relationships/hyperlink" Target="https://workandpopculture.wordpress.com/references/" TargetMode="External"/><Relationship Id="rId5" Type="http://schemas.openxmlformats.org/officeDocument/2006/relationships/webSettings" Target="webSettings.xml"/><Relationship Id="rId61" Type="http://schemas.openxmlformats.org/officeDocument/2006/relationships/hyperlink" Target="https://workandpopculture.wordpress.com/references/" TargetMode="External"/><Relationship Id="rId19" Type="http://schemas.openxmlformats.org/officeDocument/2006/relationships/hyperlink" Target="https://workandpopculture.wordpress.com/references/" TargetMode="External"/><Relationship Id="rId14" Type="http://schemas.openxmlformats.org/officeDocument/2006/relationships/image" Target="media/image2.gif"/><Relationship Id="rId22" Type="http://schemas.openxmlformats.org/officeDocument/2006/relationships/hyperlink" Target="https://workandpopculture.wordpress.com/references/" TargetMode="External"/><Relationship Id="rId27" Type="http://schemas.openxmlformats.org/officeDocument/2006/relationships/hyperlink" Target="https://workandpopculture.wordpress.com/references/" TargetMode="External"/><Relationship Id="rId30" Type="http://schemas.openxmlformats.org/officeDocument/2006/relationships/hyperlink" Target="https://workandpopculture.wordpress.com/references/" TargetMode="External"/><Relationship Id="rId35" Type="http://schemas.openxmlformats.org/officeDocument/2006/relationships/hyperlink" Target="https://workandpopculture.wordpress.com/references/" TargetMode="External"/><Relationship Id="rId43" Type="http://schemas.openxmlformats.org/officeDocument/2006/relationships/hyperlink" Target="https://workandpopculture.wordpress.com/references/" TargetMode="External"/><Relationship Id="rId48" Type="http://schemas.openxmlformats.org/officeDocument/2006/relationships/hyperlink" Target="https://workandpopculture.wordpress.com/references/" TargetMode="External"/><Relationship Id="rId56" Type="http://schemas.openxmlformats.org/officeDocument/2006/relationships/hyperlink" Target="https://workandpopculture.wordpress.com/references/" TargetMode="External"/><Relationship Id="rId64" Type="http://schemas.openxmlformats.org/officeDocument/2006/relationships/hyperlink" Target="https://workandpopculture.wordpress.com/idealised-identities/" TargetMode="External"/><Relationship Id="rId69" Type="http://schemas.openxmlformats.org/officeDocument/2006/relationships/hyperlink" Target="https://workandpopculture.wordpress.com/references/" TargetMode="External"/><Relationship Id="rId8" Type="http://schemas.openxmlformats.org/officeDocument/2006/relationships/hyperlink" Target="https://workandpopculture.wordpress.com/references/" TargetMode="External"/><Relationship Id="rId51" Type="http://schemas.openxmlformats.org/officeDocument/2006/relationships/hyperlink" Target="https://workandpopculture.wordpress.com/references/"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image" Target="media/image3.jpeg"/><Relationship Id="rId25" Type="http://schemas.openxmlformats.org/officeDocument/2006/relationships/hyperlink" Target="https://workandpopculture.wordpress.com/references/" TargetMode="External"/><Relationship Id="rId33" Type="http://schemas.openxmlformats.org/officeDocument/2006/relationships/hyperlink" Target="https://workandpopculture.wordpress.com/references/" TargetMode="External"/><Relationship Id="rId38" Type="http://schemas.openxmlformats.org/officeDocument/2006/relationships/hyperlink" Target="https://workandpopculture.wordpress.com/references/" TargetMode="External"/><Relationship Id="rId46" Type="http://schemas.openxmlformats.org/officeDocument/2006/relationships/hyperlink" Target="https://workandpopculture.wordpress.com/references/" TargetMode="External"/><Relationship Id="rId59" Type="http://schemas.openxmlformats.org/officeDocument/2006/relationships/hyperlink" Target="https://workandpopculture.wordpress.com/references/" TargetMode="External"/><Relationship Id="rId67" Type="http://schemas.openxmlformats.org/officeDocument/2006/relationships/hyperlink" Target="https://workandpopculture.wordpress.com/references/" TargetMode="External"/><Relationship Id="rId20" Type="http://schemas.openxmlformats.org/officeDocument/2006/relationships/hyperlink" Target="https://workandpopculture.wordpress.com/references/" TargetMode="External"/><Relationship Id="rId41" Type="http://schemas.openxmlformats.org/officeDocument/2006/relationships/hyperlink" Target="https://workandpopculture.wordpress.com/references/" TargetMode="External"/><Relationship Id="rId54" Type="http://schemas.openxmlformats.org/officeDocument/2006/relationships/hyperlink" Target="https://workandpopculture.wordpress.com/references/" TargetMode="External"/><Relationship Id="rId62" Type="http://schemas.openxmlformats.org/officeDocument/2006/relationships/hyperlink" Target="https://workandpopculture.wordpress.com/references/" TargetMode="External"/><Relationship Id="rId70" Type="http://schemas.openxmlformats.org/officeDocument/2006/relationships/hyperlink" Target="https://workandpopculture.wordpress.com/references/" TargetMode="External"/><Relationship Id="rId1" Type="http://schemas.openxmlformats.org/officeDocument/2006/relationships/customXml" Target="../customXml/item1.xml"/><Relationship Id="rId6" Type="http://schemas.openxmlformats.org/officeDocument/2006/relationships/hyperlink" Target="https://workandpopculture.wordpress.com/references/" TargetMode="External"/><Relationship Id="rId15" Type="http://schemas.openxmlformats.org/officeDocument/2006/relationships/hyperlink" Target="https://workandpopculture.wordpress.com/references/" TargetMode="External"/><Relationship Id="rId23" Type="http://schemas.openxmlformats.org/officeDocument/2006/relationships/hyperlink" Target="https://workandpopculture.wordpress.com/references/" TargetMode="External"/><Relationship Id="rId28" Type="http://schemas.openxmlformats.org/officeDocument/2006/relationships/hyperlink" Target="https://workandpopculture.wordpress.com/references/" TargetMode="External"/><Relationship Id="rId36" Type="http://schemas.openxmlformats.org/officeDocument/2006/relationships/hyperlink" Target="https://workandpopculture.wordpress.com/references/" TargetMode="External"/><Relationship Id="rId49" Type="http://schemas.openxmlformats.org/officeDocument/2006/relationships/hyperlink" Target="https://workandpopculture.wordpress.com/references/" TargetMode="External"/><Relationship Id="rId57" Type="http://schemas.openxmlformats.org/officeDocument/2006/relationships/hyperlink" Target="https://workandpopculture.wordpress.com/references/" TargetMode="External"/><Relationship Id="rId10" Type="http://schemas.openxmlformats.org/officeDocument/2006/relationships/hyperlink" Target="https://workandpopculture.wordpress.com/references/" TargetMode="External"/><Relationship Id="rId31" Type="http://schemas.openxmlformats.org/officeDocument/2006/relationships/hyperlink" Target="https://workandpopculture.wordpress.com/references/" TargetMode="External"/><Relationship Id="rId44" Type="http://schemas.openxmlformats.org/officeDocument/2006/relationships/hyperlink" Target="https://workandpopculture.wordpress.com/references/" TargetMode="External"/><Relationship Id="rId52" Type="http://schemas.openxmlformats.org/officeDocument/2006/relationships/hyperlink" Target="https://workandpopculture.wordpress.com/references/" TargetMode="External"/><Relationship Id="rId60" Type="http://schemas.openxmlformats.org/officeDocument/2006/relationships/hyperlink" Target="https://workandpopculture.wordpress.com/references/" TargetMode="External"/><Relationship Id="rId65" Type="http://schemas.openxmlformats.org/officeDocument/2006/relationships/hyperlink" Target="https://workandpopculture.wordpress.com/references/"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orkandpopculture.wordpress.com/references/" TargetMode="External"/><Relationship Id="rId13" Type="http://schemas.openxmlformats.org/officeDocument/2006/relationships/hyperlink" Target="https://workandpopculture.wordpress.com/references/" TargetMode="External"/><Relationship Id="rId18" Type="http://schemas.openxmlformats.org/officeDocument/2006/relationships/hyperlink" Target="https://workandpopculture.wordpress.com/references/" TargetMode="External"/><Relationship Id="rId39" Type="http://schemas.openxmlformats.org/officeDocument/2006/relationships/hyperlink" Target="https://workandpopculture.wordpress.com/references/" TargetMode="External"/><Relationship Id="rId34" Type="http://schemas.openxmlformats.org/officeDocument/2006/relationships/hyperlink" Target="https://workandpopculture.wordpress.com/references/" TargetMode="External"/><Relationship Id="rId50" Type="http://schemas.openxmlformats.org/officeDocument/2006/relationships/hyperlink" Target="https://workandpopculture.wordpress.com/references/" TargetMode="External"/><Relationship Id="rId55" Type="http://schemas.openxmlformats.org/officeDocument/2006/relationships/hyperlink" Target="https://workandpopculture.wordpress.com/references/" TargetMode="External"/><Relationship Id="rId7" Type="http://schemas.openxmlformats.org/officeDocument/2006/relationships/hyperlink" Target="https://workandpopculture.wordpress.com/references/" TargetMode="External"/><Relationship Id="rId71" Type="http://schemas.openxmlformats.org/officeDocument/2006/relationships/hyperlink" Target="https://workandpopculture.wordpress.com/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B0B4-D0F3-EA4E-9103-6329208E8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4035</Words>
  <Characters>23001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2018-04-24T09:04:00Z</dcterms:created>
  <dcterms:modified xsi:type="dcterms:W3CDTF">2018-04-28T05:12:00Z</dcterms:modified>
</cp:coreProperties>
</file>