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6E2" w:rsidRPr="00571FA4" w:rsidRDefault="005546E2" w:rsidP="005546E2">
      <w:pPr>
        <w:overflowPunct w:val="0"/>
        <w:autoSpaceDE w:val="0"/>
        <w:autoSpaceDN w:val="0"/>
        <w:adjustRightInd w:val="0"/>
        <w:spacing w:line="360" w:lineRule="auto"/>
        <w:textAlignment w:val="baseline"/>
        <w:rPr>
          <w:rFonts w:ascii="Century Gothic" w:hAnsi="Century Gothic" w:cstheme="majorBidi"/>
          <w:b/>
          <w:bCs/>
        </w:rPr>
      </w:pPr>
      <w:r w:rsidRPr="00571FA4">
        <w:rPr>
          <w:rFonts w:ascii="Century Gothic" w:hAnsi="Century Gothic" w:cstheme="majorBidi"/>
          <w:b/>
          <w:bCs/>
        </w:rPr>
        <w:t>Additional Problem 2</w:t>
      </w:r>
      <w:r>
        <w:rPr>
          <w:rFonts w:ascii="Century Gothic" w:hAnsi="Century Gothic" w:cstheme="majorBidi"/>
          <w:b/>
          <w:bCs/>
        </w:rPr>
        <w:t>6</w:t>
      </w:r>
    </w:p>
    <w:p w:rsidR="005546E2" w:rsidRPr="00571FA4" w:rsidRDefault="005546E2" w:rsidP="005546E2">
      <w:pPr>
        <w:overflowPunct w:val="0"/>
        <w:autoSpaceDE w:val="0"/>
        <w:autoSpaceDN w:val="0"/>
        <w:adjustRightInd w:val="0"/>
        <w:spacing w:line="360" w:lineRule="auto"/>
        <w:textAlignment w:val="baseline"/>
        <w:rPr>
          <w:rFonts w:ascii="Century Gothic" w:hAnsi="Century Gothic" w:cs="Arial"/>
        </w:rPr>
      </w:pPr>
    </w:p>
    <w:p w:rsidR="005546E2" w:rsidRPr="00571FA4" w:rsidRDefault="005546E2" w:rsidP="005546E2">
      <w:pPr>
        <w:spacing w:line="360" w:lineRule="auto"/>
        <w:jc w:val="both"/>
        <w:rPr>
          <w:rFonts w:ascii="Century Gothic" w:hAnsi="Century Gothic"/>
          <w:lang w:eastAsia="en-AU"/>
        </w:rPr>
      </w:pPr>
      <w:r w:rsidRPr="00571FA4">
        <w:rPr>
          <w:rFonts w:ascii="Century Gothic" w:hAnsi="Century Gothic"/>
          <w:lang w:eastAsia="en-AU"/>
        </w:rPr>
        <w:t>Tigers Ltd has presented the following information regarding its equity at 1 July 2012:</w:t>
      </w:r>
    </w:p>
    <w:p w:rsidR="005546E2" w:rsidRPr="00571FA4" w:rsidRDefault="005546E2" w:rsidP="005546E2">
      <w:pPr>
        <w:spacing w:line="360" w:lineRule="auto"/>
        <w:jc w:val="both"/>
        <w:rPr>
          <w:rFonts w:ascii="Century Gothic" w:hAnsi="Century Gothic"/>
          <w:lang w:eastAsia="en-AU"/>
        </w:rPr>
      </w:pPr>
    </w:p>
    <w:p w:rsidR="005546E2" w:rsidRPr="00571FA4" w:rsidRDefault="005546E2" w:rsidP="005546E2">
      <w:pPr>
        <w:spacing w:line="360" w:lineRule="auto"/>
        <w:jc w:val="both"/>
        <w:rPr>
          <w:rFonts w:ascii="Century Gothic" w:hAnsi="Century Gothic"/>
          <w:u w:val="single"/>
          <w:lang w:eastAsia="en-AU"/>
        </w:rPr>
      </w:pPr>
      <w:r w:rsidRPr="00571FA4">
        <w:rPr>
          <w:rFonts w:ascii="Century Gothic" w:hAnsi="Century Gothic"/>
          <w:u w:val="single"/>
          <w:lang w:eastAsia="en-AU"/>
        </w:rPr>
        <w:t>Shareholder’s Equity</w:t>
      </w:r>
    </w:p>
    <w:p w:rsidR="005546E2" w:rsidRPr="00571FA4" w:rsidRDefault="005546E2" w:rsidP="005546E2">
      <w:pPr>
        <w:spacing w:line="360" w:lineRule="auto"/>
        <w:jc w:val="both"/>
        <w:rPr>
          <w:rFonts w:ascii="Century Gothic" w:hAnsi="Century Gothic"/>
          <w:lang w:eastAsia="en-AU"/>
        </w:rPr>
      </w:pPr>
      <w:r w:rsidRPr="00571FA4">
        <w:rPr>
          <w:rFonts w:ascii="Century Gothic" w:hAnsi="Century Gothic"/>
          <w:lang w:eastAsia="en-AU"/>
        </w:rPr>
        <w:t>Issued Share Capital (5,000,000 shares)</w:t>
      </w:r>
      <w:r w:rsidRPr="00571FA4">
        <w:rPr>
          <w:rFonts w:ascii="Century Gothic" w:hAnsi="Century Gothic"/>
          <w:lang w:eastAsia="en-AU"/>
        </w:rPr>
        <w:tab/>
      </w:r>
      <w:r w:rsidRPr="00571FA4">
        <w:rPr>
          <w:rFonts w:ascii="Century Gothic" w:hAnsi="Century Gothic"/>
          <w:lang w:eastAsia="en-AU"/>
        </w:rPr>
        <w:tab/>
        <w:t>5,000,000</w:t>
      </w:r>
    </w:p>
    <w:p w:rsidR="005546E2" w:rsidRPr="00571FA4" w:rsidRDefault="005546E2" w:rsidP="005546E2">
      <w:pPr>
        <w:spacing w:line="360" w:lineRule="auto"/>
        <w:jc w:val="both"/>
        <w:rPr>
          <w:rFonts w:ascii="Century Gothic" w:hAnsi="Century Gothic"/>
          <w:lang w:eastAsia="en-AU"/>
        </w:rPr>
      </w:pPr>
      <w:r w:rsidRPr="00571FA4">
        <w:rPr>
          <w:rFonts w:ascii="Century Gothic" w:hAnsi="Century Gothic"/>
          <w:lang w:eastAsia="en-AU"/>
        </w:rPr>
        <w:t>Reserves</w:t>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t xml:space="preserve">   575,000</w:t>
      </w:r>
    </w:p>
    <w:p w:rsidR="005546E2" w:rsidRPr="00571FA4" w:rsidRDefault="005546E2" w:rsidP="005546E2">
      <w:pPr>
        <w:spacing w:line="360" w:lineRule="auto"/>
        <w:jc w:val="both"/>
        <w:rPr>
          <w:rFonts w:ascii="Century Gothic" w:hAnsi="Century Gothic"/>
          <w:u w:val="single"/>
          <w:lang w:eastAsia="en-AU"/>
        </w:rPr>
      </w:pPr>
      <w:r w:rsidRPr="00571FA4">
        <w:rPr>
          <w:rFonts w:ascii="Century Gothic" w:hAnsi="Century Gothic"/>
          <w:lang w:eastAsia="en-AU"/>
        </w:rPr>
        <w:t>Retained Earnings</w:t>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u w:val="single"/>
          <w:lang w:eastAsia="en-AU"/>
        </w:rPr>
        <w:t>2,830,000</w:t>
      </w:r>
    </w:p>
    <w:p w:rsidR="005546E2" w:rsidRPr="00571FA4" w:rsidRDefault="005546E2" w:rsidP="005546E2">
      <w:pPr>
        <w:spacing w:line="360" w:lineRule="auto"/>
        <w:jc w:val="both"/>
        <w:rPr>
          <w:rFonts w:ascii="Century Gothic" w:hAnsi="Century Gothic"/>
          <w:u w:val="double"/>
          <w:lang w:eastAsia="en-AU"/>
        </w:rPr>
      </w:pP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t xml:space="preserve">         $ </w:t>
      </w:r>
      <w:r w:rsidRPr="00571FA4">
        <w:rPr>
          <w:rFonts w:ascii="Century Gothic" w:hAnsi="Century Gothic"/>
          <w:u w:val="double"/>
          <w:lang w:eastAsia="en-AU"/>
        </w:rPr>
        <w:t>8,405,000</w:t>
      </w:r>
    </w:p>
    <w:p w:rsidR="005546E2" w:rsidRPr="00571FA4" w:rsidRDefault="005546E2" w:rsidP="005546E2">
      <w:pPr>
        <w:spacing w:line="360" w:lineRule="auto"/>
        <w:jc w:val="both"/>
        <w:rPr>
          <w:rFonts w:ascii="Century Gothic" w:hAnsi="Century Gothic"/>
          <w:lang w:eastAsia="en-AU"/>
        </w:rPr>
      </w:pPr>
    </w:p>
    <w:p w:rsidR="005546E2" w:rsidRPr="00571FA4" w:rsidRDefault="005546E2" w:rsidP="005546E2">
      <w:pPr>
        <w:spacing w:line="360" w:lineRule="auto"/>
        <w:jc w:val="both"/>
        <w:rPr>
          <w:rFonts w:ascii="Century Gothic" w:hAnsi="Century Gothic"/>
          <w:lang w:eastAsia="en-AU"/>
        </w:rPr>
      </w:pPr>
      <w:r w:rsidRPr="00571FA4">
        <w:rPr>
          <w:rFonts w:ascii="Century Gothic" w:hAnsi="Century Gothic"/>
          <w:lang w:eastAsia="en-AU"/>
        </w:rPr>
        <w:t>On 15</w:t>
      </w:r>
      <w:r w:rsidRPr="00571FA4">
        <w:rPr>
          <w:rFonts w:ascii="Century Gothic" w:hAnsi="Century Gothic"/>
          <w:vertAlign w:val="superscript"/>
          <w:lang w:eastAsia="en-AU"/>
        </w:rPr>
        <w:t>th</w:t>
      </w:r>
      <w:r w:rsidRPr="00571FA4">
        <w:rPr>
          <w:rFonts w:ascii="Century Gothic" w:hAnsi="Century Gothic"/>
          <w:lang w:eastAsia="en-AU"/>
        </w:rPr>
        <w:t xml:space="preserve"> July 2012, Tiger purchased a block of land, the consideration being 200,000 shares.  The fair value of the land was $480,000</w:t>
      </w:r>
      <w:proofErr w:type="gramStart"/>
      <w:r w:rsidRPr="00571FA4">
        <w:rPr>
          <w:rFonts w:ascii="Century Gothic" w:hAnsi="Century Gothic"/>
          <w:lang w:eastAsia="en-AU"/>
        </w:rPr>
        <w:t>.  .</w:t>
      </w:r>
      <w:proofErr w:type="gramEnd"/>
      <w:r w:rsidRPr="00571FA4">
        <w:rPr>
          <w:rFonts w:ascii="Century Gothic" w:hAnsi="Century Gothic"/>
          <w:lang w:eastAsia="en-AU"/>
        </w:rPr>
        <w:t xml:space="preserve">  </w:t>
      </w:r>
    </w:p>
    <w:p w:rsidR="005546E2" w:rsidRPr="00571FA4" w:rsidRDefault="005546E2" w:rsidP="005546E2">
      <w:pPr>
        <w:spacing w:line="360" w:lineRule="auto"/>
        <w:jc w:val="both"/>
        <w:rPr>
          <w:rFonts w:ascii="Century Gothic" w:hAnsi="Century Gothic"/>
          <w:lang w:eastAsia="en-AU"/>
        </w:rPr>
      </w:pPr>
    </w:p>
    <w:p w:rsidR="005546E2" w:rsidRPr="00571FA4" w:rsidRDefault="005546E2" w:rsidP="005546E2">
      <w:pPr>
        <w:spacing w:line="360" w:lineRule="auto"/>
        <w:jc w:val="both"/>
        <w:rPr>
          <w:rFonts w:ascii="Century Gothic" w:hAnsi="Century Gothic"/>
          <w:lang w:eastAsia="en-AU"/>
        </w:rPr>
      </w:pPr>
      <w:r w:rsidRPr="00571FA4">
        <w:rPr>
          <w:rFonts w:ascii="Century Gothic" w:hAnsi="Century Gothic"/>
          <w:lang w:eastAsia="en-AU"/>
        </w:rPr>
        <w:t>On 4 January 2013, Tiger declared an interim dividend of 10 cents per share.  The dividend was paid on 1 February.</w:t>
      </w:r>
    </w:p>
    <w:p w:rsidR="005546E2" w:rsidRPr="00571FA4" w:rsidRDefault="005546E2" w:rsidP="005546E2">
      <w:pPr>
        <w:spacing w:line="360" w:lineRule="auto"/>
        <w:jc w:val="both"/>
        <w:rPr>
          <w:rFonts w:ascii="Century Gothic" w:hAnsi="Century Gothic"/>
          <w:lang w:eastAsia="en-AU"/>
        </w:rPr>
      </w:pPr>
    </w:p>
    <w:p w:rsidR="005546E2" w:rsidRPr="00571FA4" w:rsidRDefault="005546E2" w:rsidP="005546E2">
      <w:pPr>
        <w:spacing w:line="360" w:lineRule="auto"/>
        <w:jc w:val="both"/>
        <w:rPr>
          <w:rFonts w:ascii="Century Gothic" w:hAnsi="Century Gothic"/>
          <w:lang w:eastAsia="en-AU"/>
        </w:rPr>
      </w:pPr>
      <w:r w:rsidRPr="00571FA4">
        <w:rPr>
          <w:rFonts w:ascii="Century Gothic" w:hAnsi="Century Gothic"/>
          <w:lang w:eastAsia="en-AU"/>
        </w:rPr>
        <w:t>On 10 February 2013, Tiger issued a further 500,000 ordinary shares for cash at an issue price of $2.50 each.</w:t>
      </w:r>
    </w:p>
    <w:p w:rsidR="005546E2" w:rsidRPr="00571FA4" w:rsidRDefault="005546E2" w:rsidP="005546E2">
      <w:pPr>
        <w:spacing w:line="360" w:lineRule="auto"/>
        <w:jc w:val="both"/>
        <w:rPr>
          <w:rFonts w:ascii="Century Gothic" w:hAnsi="Century Gothic"/>
          <w:lang w:eastAsia="en-AU"/>
        </w:rPr>
      </w:pPr>
    </w:p>
    <w:p w:rsidR="005546E2" w:rsidRPr="00571FA4" w:rsidRDefault="005546E2" w:rsidP="005546E2">
      <w:pPr>
        <w:spacing w:line="360" w:lineRule="auto"/>
        <w:jc w:val="both"/>
        <w:rPr>
          <w:rFonts w:ascii="Century Gothic" w:hAnsi="Century Gothic"/>
          <w:lang w:eastAsia="en-AU"/>
        </w:rPr>
      </w:pPr>
      <w:r w:rsidRPr="00571FA4">
        <w:rPr>
          <w:rFonts w:ascii="Century Gothic" w:hAnsi="Century Gothic"/>
          <w:lang w:eastAsia="en-AU"/>
        </w:rPr>
        <w:t>On 30</w:t>
      </w:r>
      <w:r w:rsidRPr="00571FA4">
        <w:rPr>
          <w:rFonts w:ascii="Century Gothic" w:hAnsi="Century Gothic"/>
          <w:vertAlign w:val="superscript"/>
          <w:lang w:eastAsia="en-AU"/>
        </w:rPr>
        <w:t>th</w:t>
      </w:r>
      <w:r w:rsidRPr="00571FA4">
        <w:rPr>
          <w:rFonts w:ascii="Century Gothic" w:hAnsi="Century Gothic"/>
          <w:lang w:eastAsia="en-AU"/>
        </w:rPr>
        <w:t xml:space="preserve"> June 2013, the company reported a profit before tax of $2,342,000. Tax expense was estimated at $371,000.  Directors transferred $300,000 to </w:t>
      </w:r>
      <w:proofErr w:type="gramStart"/>
      <w:r w:rsidRPr="00571FA4">
        <w:rPr>
          <w:rFonts w:ascii="Century Gothic" w:hAnsi="Century Gothic"/>
          <w:lang w:eastAsia="en-AU"/>
        </w:rPr>
        <w:t>reserves, and</w:t>
      </w:r>
      <w:proofErr w:type="gramEnd"/>
      <w:r w:rsidRPr="00571FA4">
        <w:rPr>
          <w:rFonts w:ascii="Century Gothic" w:hAnsi="Century Gothic"/>
          <w:lang w:eastAsia="en-AU"/>
        </w:rPr>
        <w:t xml:space="preserve"> declared a final dividend of $0.12 per share. </w:t>
      </w:r>
    </w:p>
    <w:p w:rsidR="005546E2" w:rsidRPr="00571FA4" w:rsidRDefault="005546E2" w:rsidP="005546E2">
      <w:pPr>
        <w:spacing w:line="360" w:lineRule="auto"/>
        <w:jc w:val="both"/>
        <w:rPr>
          <w:rFonts w:ascii="Century Gothic" w:hAnsi="Century Gothic"/>
          <w:lang w:eastAsia="en-AU"/>
        </w:rPr>
      </w:pPr>
    </w:p>
    <w:p w:rsidR="005546E2" w:rsidRPr="00571FA4" w:rsidRDefault="005546E2" w:rsidP="005546E2">
      <w:pPr>
        <w:spacing w:line="360" w:lineRule="auto"/>
        <w:jc w:val="both"/>
        <w:rPr>
          <w:rFonts w:ascii="Century Gothic" w:hAnsi="Century Gothic"/>
          <w:lang w:eastAsia="en-AU"/>
        </w:rPr>
      </w:pPr>
      <w:r w:rsidRPr="00571FA4">
        <w:rPr>
          <w:rFonts w:ascii="Century Gothic" w:hAnsi="Century Gothic"/>
          <w:lang w:eastAsia="en-AU"/>
        </w:rPr>
        <w:t>The final dividend and tax was paid on 22</w:t>
      </w:r>
      <w:r w:rsidRPr="00571FA4">
        <w:rPr>
          <w:rFonts w:ascii="Century Gothic" w:hAnsi="Century Gothic"/>
          <w:vertAlign w:val="superscript"/>
          <w:lang w:eastAsia="en-AU"/>
        </w:rPr>
        <w:t>nd</w:t>
      </w:r>
      <w:r w:rsidRPr="00571FA4">
        <w:rPr>
          <w:rFonts w:ascii="Century Gothic" w:hAnsi="Century Gothic"/>
          <w:lang w:eastAsia="en-AU"/>
        </w:rPr>
        <w:t xml:space="preserve"> July 2013.</w:t>
      </w:r>
    </w:p>
    <w:p w:rsidR="005546E2" w:rsidRPr="00571FA4" w:rsidRDefault="005546E2" w:rsidP="005546E2">
      <w:pPr>
        <w:spacing w:line="360" w:lineRule="auto"/>
        <w:jc w:val="both"/>
        <w:rPr>
          <w:rFonts w:ascii="Century Gothic" w:hAnsi="Century Gothic"/>
          <w:lang w:eastAsia="en-AU"/>
        </w:rPr>
      </w:pPr>
    </w:p>
    <w:p w:rsidR="005546E2" w:rsidRPr="00571FA4" w:rsidRDefault="005546E2" w:rsidP="005546E2">
      <w:pPr>
        <w:spacing w:line="360" w:lineRule="auto"/>
        <w:jc w:val="both"/>
        <w:rPr>
          <w:rFonts w:ascii="Century Gothic" w:hAnsi="Century Gothic"/>
          <w:b/>
          <w:i/>
          <w:iCs/>
        </w:rPr>
      </w:pPr>
      <w:r w:rsidRPr="00571FA4">
        <w:rPr>
          <w:rFonts w:ascii="Century Gothic" w:hAnsi="Century Gothic"/>
          <w:b/>
          <w:i/>
          <w:iCs/>
        </w:rPr>
        <w:t>Required:</w:t>
      </w:r>
    </w:p>
    <w:p w:rsidR="005546E2" w:rsidRPr="00571FA4" w:rsidRDefault="005546E2" w:rsidP="005546E2">
      <w:pPr>
        <w:numPr>
          <w:ilvl w:val="0"/>
          <w:numId w:val="2"/>
        </w:numPr>
        <w:spacing w:line="360" w:lineRule="auto"/>
        <w:jc w:val="both"/>
        <w:rPr>
          <w:rFonts w:ascii="Century Gothic" w:hAnsi="Century Gothic" w:cstheme="majorBidi"/>
        </w:rPr>
      </w:pPr>
      <w:r w:rsidRPr="00571FA4">
        <w:rPr>
          <w:rFonts w:ascii="Century Gothic" w:hAnsi="Century Gothic" w:cstheme="majorBidi"/>
        </w:rPr>
        <w:t>Prepare general journal entries for the transactions and events above.</w:t>
      </w:r>
    </w:p>
    <w:p w:rsidR="005A2CEB" w:rsidRPr="005546E2" w:rsidRDefault="005546E2" w:rsidP="005546E2">
      <w:pPr>
        <w:numPr>
          <w:ilvl w:val="0"/>
          <w:numId w:val="2"/>
        </w:numPr>
        <w:spacing w:line="360" w:lineRule="auto"/>
        <w:jc w:val="both"/>
        <w:rPr>
          <w:rFonts w:ascii="Century Gothic" w:hAnsi="Century Gothic" w:cstheme="majorBidi"/>
        </w:rPr>
      </w:pPr>
      <w:r w:rsidRPr="00571FA4">
        <w:rPr>
          <w:rFonts w:ascii="Century Gothic" w:hAnsi="Century Gothic" w:cstheme="majorBidi"/>
        </w:rPr>
        <w:t>Prepare Statement of Changes in Equity for year ended 30 June 2013.</w:t>
      </w:r>
    </w:p>
    <w:p w:rsidR="005A2CEB" w:rsidRDefault="005A2CEB" w:rsidP="005546E2">
      <w:pPr>
        <w:spacing w:line="360" w:lineRule="auto"/>
      </w:pPr>
    </w:p>
    <w:p w:rsidR="00512BA3" w:rsidRPr="005A2CEB" w:rsidRDefault="005A2CEB" w:rsidP="005546E2">
      <w:pPr>
        <w:spacing w:line="360" w:lineRule="auto"/>
        <w:jc w:val="center"/>
        <w:rPr>
          <w:b/>
        </w:rPr>
      </w:pPr>
      <w:r w:rsidRPr="005A2CEB">
        <w:rPr>
          <w:b/>
        </w:rPr>
        <w:lastRenderedPageBreak/>
        <w:t>Statement of changes in equity</w:t>
      </w:r>
    </w:p>
    <w:p w:rsidR="005A2CEB" w:rsidRDefault="005A2CEB" w:rsidP="005546E2">
      <w:pPr>
        <w:spacing w:line="360" w:lineRule="auto"/>
      </w:pPr>
    </w:p>
    <w:p w:rsidR="005A2CEB" w:rsidRPr="005A2CEB" w:rsidRDefault="005A2CEB" w:rsidP="005546E2">
      <w:pPr>
        <w:spacing w:line="360" w:lineRule="auto"/>
        <w:rPr>
          <w:b/>
        </w:rPr>
      </w:pPr>
      <w:r w:rsidRPr="005A2CEB">
        <w:rPr>
          <w:b/>
        </w:rPr>
        <w:t>Share capital</w:t>
      </w:r>
    </w:p>
    <w:p w:rsidR="005A2CEB" w:rsidRDefault="005A2CEB" w:rsidP="005546E2">
      <w:pPr>
        <w:spacing w:line="360" w:lineRule="auto"/>
      </w:pPr>
      <w:r>
        <w:t xml:space="preserve">Opening balance </w:t>
      </w:r>
      <w:r w:rsidR="009976B9">
        <w:t xml:space="preserve">  5,000,000</w:t>
      </w:r>
      <w:r>
        <w:tab/>
      </w:r>
      <w:r w:rsidR="009976B9">
        <w:t xml:space="preserve">              </w:t>
      </w:r>
      <w:r>
        <w:t>$1</w:t>
      </w:r>
      <w:r>
        <w:tab/>
      </w:r>
      <w:r>
        <w:tab/>
      </w:r>
      <w:r>
        <w:tab/>
        <w:t>5,000,000</w:t>
      </w:r>
    </w:p>
    <w:p w:rsidR="005A2CEB" w:rsidRDefault="005A2CEB" w:rsidP="005546E2">
      <w:pPr>
        <w:spacing w:line="360" w:lineRule="auto"/>
      </w:pPr>
      <w:r>
        <w:t>Share Issue</w:t>
      </w:r>
      <w:r>
        <w:tab/>
      </w:r>
      <w:r w:rsidR="009976B9">
        <w:t xml:space="preserve">       200,000</w:t>
      </w:r>
      <w:r w:rsidR="009976B9">
        <w:tab/>
      </w:r>
      <w:r>
        <w:tab/>
        <w:t>$2.40</w:t>
      </w:r>
      <w:r>
        <w:tab/>
      </w:r>
      <w:r>
        <w:tab/>
      </w:r>
      <w:r>
        <w:tab/>
        <w:t>480,000</w:t>
      </w:r>
    </w:p>
    <w:p w:rsidR="005A2CEB" w:rsidRDefault="005A2CEB" w:rsidP="005546E2">
      <w:pPr>
        <w:spacing w:line="360" w:lineRule="auto"/>
      </w:pPr>
      <w:r>
        <w:t xml:space="preserve">Share Issue            </w:t>
      </w:r>
      <w:r w:rsidR="009976B9">
        <w:t xml:space="preserve"> </w:t>
      </w:r>
      <w:r w:rsidR="005546E2">
        <w:t>500,000</w:t>
      </w:r>
      <w:r>
        <w:t xml:space="preserve">       </w:t>
      </w:r>
      <w:r w:rsidR="005546E2">
        <w:t xml:space="preserve">           </w:t>
      </w:r>
      <w:r w:rsidR="009976B9">
        <w:t xml:space="preserve"> </w:t>
      </w:r>
      <w:r>
        <w:t>$2.50</w:t>
      </w:r>
      <w:r>
        <w:tab/>
      </w:r>
      <w:r>
        <w:tab/>
      </w:r>
      <w:r>
        <w:tab/>
        <w:t>1,250,000</w:t>
      </w:r>
    </w:p>
    <w:p w:rsidR="009976B9" w:rsidRPr="009976B9" w:rsidRDefault="009976B9" w:rsidP="005546E2">
      <w:pPr>
        <w:spacing w:line="360" w:lineRule="auto"/>
        <w:rPr>
          <w:b/>
          <w:u w:val="single"/>
        </w:rPr>
      </w:pPr>
      <w:r>
        <w:tab/>
      </w:r>
      <w:r>
        <w:tab/>
      </w:r>
      <w:r>
        <w:tab/>
      </w:r>
      <w:r>
        <w:tab/>
      </w:r>
      <w:r>
        <w:tab/>
      </w:r>
      <w:r>
        <w:tab/>
      </w:r>
      <w:r w:rsidR="005546E2">
        <w:t xml:space="preserve">                           </w:t>
      </w:r>
      <w:r w:rsidRPr="009976B9">
        <w:rPr>
          <w:b/>
          <w:u w:val="single"/>
        </w:rPr>
        <w:t>6,730,000</w:t>
      </w:r>
    </w:p>
    <w:p w:rsidR="005A2CEB" w:rsidRDefault="005A2CEB" w:rsidP="005546E2">
      <w:pPr>
        <w:spacing w:line="360" w:lineRule="auto"/>
      </w:pPr>
    </w:p>
    <w:p w:rsidR="005A2CEB" w:rsidRPr="005A2CEB" w:rsidRDefault="005A2CEB" w:rsidP="005546E2">
      <w:pPr>
        <w:spacing w:line="360" w:lineRule="auto"/>
        <w:rPr>
          <w:b/>
        </w:rPr>
      </w:pPr>
      <w:r w:rsidRPr="005A2CEB">
        <w:rPr>
          <w:b/>
        </w:rPr>
        <w:t>Reserves</w:t>
      </w:r>
    </w:p>
    <w:p w:rsidR="005A2CEB" w:rsidRDefault="005A2CEB" w:rsidP="005546E2">
      <w:pPr>
        <w:spacing w:line="360" w:lineRule="auto"/>
      </w:pPr>
      <w:r>
        <w:t xml:space="preserve">Opening Balance </w:t>
      </w:r>
      <w:r>
        <w:tab/>
      </w:r>
      <w:r>
        <w:tab/>
      </w:r>
      <w:r>
        <w:tab/>
      </w:r>
      <w:r>
        <w:tab/>
      </w:r>
      <w:r w:rsidR="005546E2">
        <w:t xml:space="preserve">                          </w:t>
      </w:r>
      <w:r>
        <w:t>575,000</w:t>
      </w:r>
    </w:p>
    <w:p w:rsidR="005A2CEB" w:rsidRDefault="009976B9" w:rsidP="005546E2">
      <w:pPr>
        <w:spacing w:line="360" w:lineRule="auto"/>
      </w:pPr>
      <w:r>
        <w:t xml:space="preserve">Transfer from Retained Earnings </w:t>
      </w:r>
      <w:r>
        <w:tab/>
      </w:r>
      <w:r>
        <w:tab/>
      </w:r>
      <w:r w:rsidR="005546E2">
        <w:t xml:space="preserve">                          </w:t>
      </w:r>
      <w:r>
        <w:t>300,000</w:t>
      </w:r>
    </w:p>
    <w:p w:rsidR="005A2CEB" w:rsidRPr="009976B9" w:rsidRDefault="009976B9" w:rsidP="005546E2">
      <w:pPr>
        <w:spacing w:line="360" w:lineRule="auto"/>
        <w:rPr>
          <w:b/>
          <w:u w:val="single"/>
        </w:rPr>
      </w:pPr>
      <w:r w:rsidRPr="009976B9">
        <w:rPr>
          <w:b/>
        </w:rPr>
        <w:tab/>
      </w:r>
      <w:r w:rsidRPr="009976B9">
        <w:rPr>
          <w:b/>
        </w:rPr>
        <w:tab/>
      </w:r>
      <w:r w:rsidRPr="009976B9">
        <w:rPr>
          <w:b/>
        </w:rPr>
        <w:tab/>
      </w:r>
      <w:r w:rsidRPr="009976B9">
        <w:rPr>
          <w:b/>
        </w:rPr>
        <w:tab/>
      </w:r>
      <w:r w:rsidRPr="009976B9">
        <w:rPr>
          <w:b/>
        </w:rPr>
        <w:tab/>
      </w:r>
      <w:r w:rsidRPr="009976B9">
        <w:rPr>
          <w:b/>
        </w:rPr>
        <w:tab/>
      </w:r>
      <w:r w:rsidR="005546E2">
        <w:rPr>
          <w:b/>
        </w:rPr>
        <w:t xml:space="preserve">                          </w:t>
      </w:r>
      <w:r w:rsidRPr="009976B9">
        <w:rPr>
          <w:b/>
          <w:u w:val="single"/>
        </w:rPr>
        <w:t>875,000</w:t>
      </w:r>
    </w:p>
    <w:p w:rsidR="005A2CEB" w:rsidRPr="005A2CEB" w:rsidRDefault="005A2CEB" w:rsidP="005546E2">
      <w:pPr>
        <w:spacing w:line="360" w:lineRule="auto"/>
        <w:rPr>
          <w:b/>
        </w:rPr>
      </w:pPr>
      <w:r w:rsidRPr="005A2CEB">
        <w:rPr>
          <w:b/>
        </w:rPr>
        <w:t>Retained Earnings</w:t>
      </w:r>
    </w:p>
    <w:p w:rsidR="005A2CEB" w:rsidRDefault="005A2CEB" w:rsidP="005546E2">
      <w:pPr>
        <w:spacing w:line="360" w:lineRule="auto"/>
      </w:pPr>
      <w:r>
        <w:t xml:space="preserve">Opening Balance </w:t>
      </w:r>
      <w:r>
        <w:tab/>
      </w:r>
      <w:r>
        <w:tab/>
      </w:r>
      <w:r>
        <w:tab/>
      </w:r>
      <w:r>
        <w:tab/>
      </w:r>
      <w:r w:rsidR="005546E2">
        <w:t xml:space="preserve">                          </w:t>
      </w:r>
      <w:r>
        <w:t>2,830,000</w:t>
      </w:r>
    </w:p>
    <w:p w:rsidR="009976B9" w:rsidRDefault="009976B9" w:rsidP="005546E2">
      <w:pPr>
        <w:spacing w:line="360" w:lineRule="auto"/>
      </w:pPr>
      <w:r>
        <w:t>+ Net profit after tax</w:t>
      </w:r>
      <w:r>
        <w:tab/>
      </w:r>
      <w:r>
        <w:tab/>
      </w:r>
      <w:r>
        <w:tab/>
      </w:r>
      <w:r>
        <w:tab/>
      </w:r>
      <w:r w:rsidR="005546E2">
        <w:t xml:space="preserve">                          </w:t>
      </w:r>
      <w:r>
        <w:t>1,971,000</w:t>
      </w:r>
      <w:bookmarkStart w:id="0" w:name="_GoBack"/>
      <w:bookmarkEnd w:id="0"/>
    </w:p>
    <w:p w:rsidR="009976B9" w:rsidRDefault="009976B9" w:rsidP="005546E2">
      <w:pPr>
        <w:pStyle w:val="ListParagraph"/>
        <w:numPr>
          <w:ilvl w:val="0"/>
          <w:numId w:val="1"/>
        </w:numPr>
        <w:spacing w:line="360" w:lineRule="auto"/>
      </w:pPr>
      <w:r>
        <w:t xml:space="preserve">Transfer to reserves </w:t>
      </w:r>
      <w:r>
        <w:tab/>
      </w:r>
      <w:r>
        <w:tab/>
      </w:r>
      <w:r>
        <w:tab/>
      </w:r>
      <w:r w:rsidR="005546E2">
        <w:t xml:space="preserve">                       </w:t>
      </w:r>
      <w:proofErr w:type="gramStart"/>
      <w:r w:rsidR="005546E2">
        <w:t xml:space="preserve">   </w:t>
      </w:r>
      <w:r>
        <w:t>(</w:t>
      </w:r>
      <w:proofErr w:type="gramEnd"/>
      <w:r>
        <w:t>300,000)</w:t>
      </w:r>
    </w:p>
    <w:p w:rsidR="009976B9" w:rsidRDefault="009976B9" w:rsidP="005546E2">
      <w:pPr>
        <w:pStyle w:val="ListParagraph"/>
        <w:numPr>
          <w:ilvl w:val="0"/>
          <w:numId w:val="1"/>
        </w:numPr>
        <w:spacing w:line="360" w:lineRule="auto"/>
      </w:pPr>
      <w:r>
        <w:t xml:space="preserve">Interim dividend paid </w:t>
      </w:r>
      <w:r>
        <w:tab/>
      </w:r>
      <w:r>
        <w:tab/>
      </w:r>
      <w:r>
        <w:tab/>
      </w:r>
      <w:r w:rsidR="005546E2">
        <w:t xml:space="preserve">                       </w:t>
      </w:r>
      <w:proofErr w:type="gramStart"/>
      <w:r w:rsidR="005546E2">
        <w:t xml:space="preserve">   </w:t>
      </w:r>
      <w:r>
        <w:t>(</w:t>
      </w:r>
      <w:proofErr w:type="gramEnd"/>
      <w:r>
        <w:t>520,000)</w:t>
      </w:r>
    </w:p>
    <w:p w:rsidR="009976B9" w:rsidRDefault="009976B9" w:rsidP="005546E2">
      <w:pPr>
        <w:pStyle w:val="ListParagraph"/>
        <w:numPr>
          <w:ilvl w:val="0"/>
          <w:numId w:val="1"/>
        </w:numPr>
        <w:spacing w:line="360" w:lineRule="auto"/>
      </w:pPr>
      <w:r>
        <w:t xml:space="preserve">Final dividend payable </w:t>
      </w:r>
      <w:r>
        <w:tab/>
      </w:r>
      <w:r>
        <w:tab/>
      </w:r>
      <w:r w:rsidR="005546E2">
        <w:t xml:space="preserve">                       </w:t>
      </w:r>
      <w:proofErr w:type="gramStart"/>
      <w:r w:rsidR="005546E2">
        <w:t xml:space="preserve">   </w:t>
      </w:r>
      <w:r>
        <w:t>(</w:t>
      </w:r>
      <w:proofErr w:type="gramEnd"/>
      <w:r>
        <w:t>684,000)</w:t>
      </w:r>
    </w:p>
    <w:p w:rsidR="009976B9" w:rsidRDefault="005546E2" w:rsidP="005546E2">
      <w:pPr>
        <w:pStyle w:val="ListParagraph"/>
        <w:spacing w:line="360" w:lineRule="auto"/>
        <w:ind w:left="4320"/>
        <w:rPr>
          <w:b/>
          <w:u w:val="single"/>
        </w:rPr>
      </w:pPr>
      <w:r w:rsidRPr="005546E2">
        <w:rPr>
          <w:b/>
        </w:rPr>
        <w:t xml:space="preserve">                           </w:t>
      </w:r>
      <w:r w:rsidR="009976B9" w:rsidRPr="009976B9">
        <w:rPr>
          <w:b/>
          <w:u w:val="single"/>
        </w:rPr>
        <w:t>3,297,000</w:t>
      </w:r>
    </w:p>
    <w:p w:rsidR="005546E2" w:rsidRDefault="005546E2" w:rsidP="005546E2">
      <w:pPr>
        <w:pStyle w:val="ListParagraph"/>
        <w:spacing w:line="360" w:lineRule="auto"/>
        <w:ind w:left="4320"/>
        <w:rPr>
          <w:b/>
          <w:u w:val="single"/>
        </w:rPr>
      </w:pPr>
    </w:p>
    <w:p w:rsidR="005546E2" w:rsidRPr="005546E2" w:rsidRDefault="005546E2" w:rsidP="005546E2">
      <w:pPr>
        <w:spacing w:line="360" w:lineRule="auto"/>
        <w:rPr>
          <w:b/>
        </w:rPr>
      </w:pPr>
      <w:r>
        <w:rPr>
          <w:b/>
          <w:u w:val="single"/>
        </w:rPr>
        <w:t>TOTAL SHARE EQUITIES</w:t>
      </w:r>
      <w:r>
        <w:rPr>
          <w:b/>
        </w:rPr>
        <w:tab/>
      </w:r>
      <w:r>
        <w:rPr>
          <w:b/>
        </w:rPr>
        <w:tab/>
      </w:r>
      <w:r>
        <w:rPr>
          <w:b/>
        </w:rPr>
        <w:tab/>
      </w:r>
      <w:r>
        <w:rPr>
          <w:b/>
        </w:rPr>
        <w:tab/>
      </w:r>
      <w:r>
        <w:rPr>
          <w:b/>
        </w:rPr>
        <w:tab/>
        <w:t>$10,902,000</w:t>
      </w:r>
    </w:p>
    <w:p w:rsidR="009976B9" w:rsidRDefault="009976B9" w:rsidP="005546E2">
      <w:pPr>
        <w:spacing w:line="360" w:lineRule="auto"/>
      </w:pPr>
    </w:p>
    <w:p w:rsidR="005A2CEB" w:rsidRDefault="005A2CEB" w:rsidP="005546E2">
      <w:pPr>
        <w:spacing w:line="360" w:lineRule="auto"/>
        <w:jc w:val="center"/>
      </w:pPr>
    </w:p>
    <w:p w:rsidR="005A2CEB" w:rsidRDefault="005A2CEB" w:rsidP="005546E2">
      <w:pPr>
        <w:spacing w:line="360" w:lineRule="auto"/>
      </w:pPr>
    </w:p>
    <w:p w:rsidR="005A2CEB" w:rsidRDefault="005A2CEB" w:rsidP="005546E2">
      <w:pPr>
        <w:spacing w:line="360" w:lineRule="auto"/>
      </w:pPr>
    </w:p>
    <w:tbl>
      <w:tblPr>
        <w:tblStyle w:val="GridTable2-Accent2"/>
        <w:tblW w:w="0" w:type="auto"/>
        <w:tblLook w:val="04A0" w:firstRow="1" w:lastRow="0" w:firstColumn="1" w:lastColumn="0" w:noHBand="0" w:noVBand="1"/>
      </w:tblPr>
      <w:tblGrid>
        <w:gridCol w:w="993"/>
        <w:gridCol w:w="5528"/>
        <w:gridCol w:w="1276"/>
        <w:gridCol w:w="1213"/>
      </w:tblGrid>
      <w:tr w:rsidR="005A2CEB" w:rsidTr="005A2C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r>
              <w:t xml:space="preserve">Date </w:t>
            </w:r>
          </w:p>
        </w:tc>
        <w:tc>
          <w:tcPr>
            <w:tcW w:w="5528" w:type="dxa"/>
          </w:tcPr>
          <w:p w:rsidR="005A2CEB" w:rsidRDefault="005A2CEB" w:rsidP="005546E2">
            <w:pPr>
              <w:spacing w:line="360" w:lineRule="auto"/>
              <w:cnfStyle w:val="100000000000" w:firstRow="1" w:lastRow="0" w:firstColumn="0" w:lastColumn="0" w:oddVBand="0" w:evenVBand="0" w:oddHBand="0" w:evenHBand="0" w:firstRowFirstColumn="0" w:firstRowLastColumn="0" w:lastRowFirstColumn="0" w:lastRowLastColumn="0"/>
            </w:pPr>
            <w:r>
              <w:t xml:space="preserve">Details </w:t>
            </w:r>
          </w:p>
        </w:tc>
        <w:tc>
          <w:tcPr>
            <w:tcW w:w="1276" w:type="dxa"/>
          </w:tcPr>
          <w:p w:rsidR="005A2CEB" w:rsidRDefault="005A2CEB" w:rsidP="005546E2">
            <w:pPr>
              <w:spacing w:line="360" w:lineRule="auto"/>
              <w:cnfStyle w:val="100000000000" w:firstRow="1" w:lastRow="0" w:firstColumn="0" w:lastColumn="0" w:oddVBand="0" w:evenVBand="0" w:oddHBand="0" w:evenHBand="0" w:firstRowFirstColumn="0" w:firstRowLastColumn="0" w:lastRowFirstColumn="0" w:lastRowLastColumn="0"/>
            </w:pPr>
            <w:r>
              <w:t xml:space="preserve">DR </w:t>
            </w:r>
          </w:p>
        </w:tc>
        <w:tc>
          <w:tcPr>
            <w:tcW w:w="1213" w:type="dxa"/>
          </w:tcPr>
          <w:p w:rsidR="005A2CEB" w:rsidRDefault="005A2CEB" w:rsidP="005546E2">
            <w:pPr>
              <w:spacing w:line="360" w:lineRule="auto"/>
              <w:cnfStyle w:val="100000000000" w:firstRow="1" w:lastRow="0" w:firstColumn="0" w:lastColumn="0" w:oddVBand="0" w:evenVBand="0" w:oddHBand="0" w:evenHBand="0" w:firstRowFirstColumn="0" w:firstRowLastColumn="0" w:lastRowFirstColumn="0" w:lastRowLastColumn="0"/>
            </w:pPr>
            <w:r>
              <w:t>CR</w:t>
            </w:r>
          </w:p>
        </w:tc>
      </w:tr>
      <w:tr w:rsidR="005A2CEB" w:rsidTr="005A2C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 xml:space="preserve">Land </w:t>
            </w:r>
          </w:p>
        </w:tc>
        <w:tc>
          <w:tcPr>
            <w:tcW w:w="1276"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480,000</w:t>
            </w:r>
          </w:p>
        </w:tc>
        <w:tc>
          <w:tcPr>
            <w:tcW w:w="1213"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p>
        </w:tc>
      </w:tr>
      <w:tr w:rsidR="005A2CEB" w:rsidTr="005A2CEB">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 xml:space="preserve">   Share Capital </w:t>
            </w:r>
          </w:p>
        </w:tc>
        <w:tc>
          <w:tcPr>
            <w:tcW w:w="1276"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p>
        </w:tc>
        <w:tc>
          <w:tcPr>
            <w:tcW w:w="1213"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480,000</w:t>
            </w:r>
          </w:p>
        </w:tc>
      </w:tr>
      <w:tr w:rsidR="005A2CEB" w:rsidTr="005A2C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 xml:space="preserve">Interim dividend </w:t>
            </w:r>
          </w:p>
        </w:tc>
        <w:tc>
          <w:tcPr>
            <w:tcW w:w="1276"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520,000</w:t>
            </w:r>
          </w:p>
        </w:tc>
        <w:tc>
          <w:tcPr>
            <w:tcW w:w="1213"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p>
        </w:tc>
      </w:tr>
      <w:tr w:rsidR="005A2CEB" w:rsidTr="005A2CEB">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 xml:space="preserve">   Interim dividend payable </w:t>
            </w:r>
          </w:p>
        </w:tc>
        <w:tc>
          <w:tcPr>
            <w:tcW w:w="1276"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p>
        </w:tc>
        <w:tc>
          <w:tcPr>
            <w:tcW w:w="1213"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520,000</w:t>
            </w:r>
          </w:p>
        </w:tc>
      </w:tr>
      <w:tr w:rsidR="005A2CEB" w:rsidTr="005A2C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 xml:space="preserve">Interim dividend payable </w:t>
            </w:r>
          </w:p>
        </w:tc>
        <w:tc>
          <w:tcPr>
            <w:tcW w:w="1276"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520,000</w:t>
            </w:r>
          </w:p>
        </w:tc>
        <w:tc>
          <w:tcPr>
            <w:tcW w:w="1213"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p>
        </w:tc>
      </w:tr>
      <w:tr w:rsidR="005A2CEB" w:rsidTr="005A2CEB">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 xml:space="preserve">   Cash </w:t>
            </w:r>
          </w:p>
        </w:tc>
        <w:tc>
          <w:tcPr>
            <w:tcW w:w="1276"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p>
        </w:tc>
        <w:tc>
          <w:tcPr>
            <w:tcW w:w="1213"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520,000</w:t>
            </w:r>
          </w:p>
        </w:tc>
      </w:tr>
      <w:tr w:rsidR="005A2CEB" w:rsidTr="005A2C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 xml:space="preserve">Cash </w:t>
            </w:r>
          </w:p>
        </w:tc>
        <w:tc>
          <w:tcPr>
            <w:tcW w:w="1276"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1,250,000</w:t>
            </w:r>
          </w:p>
        </w:tc>
        <w:tc>
          <w:tcPr>
            <w:tcW w:w="1213"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p>
        </w:tc>
      </w:tr>
      <w:tr w:rsidR="005A2CEB" w:rsidTr="005A2CEB">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 xml:space="preserve">   Share capital </w:t>
            </w:r>
          </w:p>
        </w:tc>
        <w:tc>
          <w:tcPr>
            <w:tcW w:w="1276"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p>
        </w:tc>
        <w:tc>
          <w:tcPr>
            <w:tcW w:w="1213"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1,250,000</w:t>
            </w:r>
          </w:p>
        </w:tc>
      </w:tr>
      <w:tr w:rsidR="005A2CEB" w:rsidTr="005A2C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 xml:space="preserve">Income Tax expense </w:t>
            </w:r>
          </w:p>
        </w:tc>
        <w:tc>
          <w:tcPr>
            <w:tcW w:w="1276"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371,000</w:t>
            </w:r>
          </w:p>
        </w:tc>
        <w:tc>
          <w:tcPr>
            <w:tcW w:w="1213"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p>
        </w:tc>
      </w:tr>
      <w:tr w:rsidR="005A2CEB" w:rsidTr="005A2CEB">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 xml:space="preserve">   Income Tax Payable </w:t>
            </w:r>
          </w:p>
        </w:tc>
        <w:tc>
          <w:tcPr>
            <w:tcW w:w="1276"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p>
        </w:tc>
        <w:tc>
          <w:tcPr>
            <w:tcW w:w="1213"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371,000</w:t>
            </w:r>
          </w:p>
        </w:tc>
      </w:tr>
      <w:tr w:rsidR="005A2CEB" w:rsidTr="005A2C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 xml:space="preserve">Profit and loss summary </w:t>
            </w:r>
          </w:p>
        </w:tc>
        <w:tc>
          <w:tcPr>
            <w:tcW w:w="1276"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371,000</w:t>
            </w:r>
          </w:p>
        </w:tc>
        <w:tc>
          <w:tcPr>
            <w:tcW w:w="1213"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p>
        </w:tc>
      </w:tr>
      <w:tr w:rsidR="005A2CEB" w:rsidTr="005A2CEB">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 xml:space="preserve">   Income Tax Expense </w:t>
            </w:r>
          </w:p>
        </w:tc>
        <w:tc>
          <w:tcPr>
            <w:tcW w:w="1276"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p>
        </w:tc>
        <w:tc>
          <w:tcPr>
            <w:tcW w:w="1213"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371,000</w:t>
            </w:r>
          </w:p>
        </w:tc>
      </w:tr>
      <w:tr w:rsidR="005A2CEB" w:rsidTr="005A2C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 xml:space="preserve">Profit and loss summary </w:t>
            </w:r>
          </w:p>
        </w:tc>
        <w:tc>
          <w:tcPr>
            <w:tcW w:w="1276"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r>
              <w:t>371,000</w:t>
            </w:r>
          </w:p>
        </w:tc>
        <w:tc>
          <w:tcPr>
            <w:tcW w:w="1213" w:type="dxa"/>
          </w:tcPr>
          <w:p w:rsidR="005A2CEB" w:rsidRDefault="005A2CEB" w:rsidP="005546E2">
            <w:pPr>
              <w:spacing w:line="360" w:lineRule="auto"/>
              <w:cnfStyle w:val="000000100000" w:firstRow="0" w:lastRow="0" w:firstColumn="0" w:lastColumn="0" w:oddVBand="0" w:evenVBand="0" w:oddHBand="1" w:evenHBand="0" w:firstRowFirstColumn="0" w:firstRowLastColumn="0" w:lastRowFirstColumn="0" w:lastRowLastColumn="0"/>
            </w:pPr>
          </w:p>
        </w:tc>
      </w:tr>
      <w:tr w:rsidR="005A2CEB" w:rsidTr="005A2CEB">
        <w:tc>
          <w:tcPr>
            <w:cnfStyle w:val="001000000000" w:firstRow="0" w:lastRow="0" w:firstColumn="1" w:lastColumn="0" w:oddVBand="0" w:evenVBand="0" w:oddHBand="0" w:evenHBand="0" w:firstRowFirstColumn="0" w:firstRowLastColumn="0" w:lastRowFirstColumn="0" w:lastRowLastColumn="0"/>
            <w:tcW w:w="993" w:type="dxa"/>
          </w:tcPr>
          <w:p w:rsidR="005A2CEB" w:rsidRDefault="005A2CEB" w:rsidP="005546E2">
            <w:pPr>
              <w:spacing w:line="360" w:lineRule="auto"/>
            </w:pPr>
          </w:p>
        </w:tc>
        <w:tc>
          <w:tcPr>
            <w:tcW w:w="5528"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 xml:space="preserve">   Reserves </w:t>
            </w:r>
          </w:p>
        </w:tc>
        <w:tc>
          <w:tcPr>
            <w:tcW w:w="1276"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p>
        </w:tc>
        <w:tc>
          <w:tcPr>
            <w:tcW w:w="1213" w:type="dxa"/>
          </w:tcPr>
          <w:p w:rsidR="005A2CEB" w:rsidRDefault="005A2CEB" w:rsidP="005546E2">
            <w:pPr>
              <w:spacing w:line="360" w:lineRule="auto"/>
              <w:cnfStyle w:val="000000000000" w:firstRow="0" w:lastRow="0" w:firstColumn="0" w:lastColumn="0" w:oddVBand="0" w:evenVBand="0" w:oddHBand="0" w:evenHBand="0" w:firstRowFirstColumn="0" w:firstRowLastColumn="0" w:lastRowFirstColumn="0" w:lastRowLastColumn="0"/>
            </w:pPr>
            <w:r>
              <w:t>371,000</w:t>
            </w:r>
          </w:p>
        </w:tc>
      </w:tr>
    </w:tbl>
    <w:p w:rsidR="005A2CEB" w:rsidRDefault="005A2CEB" w:rsidP="005546E2">
      <w:pPr>
        <w:spacing w:line="360" w:lineRule="auto"/>
      </w:pPr>
    </w:p>
    <w:p w:rsidR="005546E2" w:rsidRPr="00571FA4" w:rsidRDefault="005546E2" w:rsidP="005546E2">
      <w:pPr>
        <w:spacing w:line="360" w:lineRule="auto"/>
        <w:rPr>
          <w:rFonts w:ascii="Century Gothic" w:hAnsi="Century Gothic"/>
          <w:b/>
          <w:bCs/>
        </w:rPr>
      </w:pPr>
      <w:r w:rsidRPr="00571FA4">
        <w:rPr>
          <w:rFonts w:ascii="Century Gothic" w:hAnsi="Century Gothic"/>
          <w:b/>
          <w:bCs/>
        </w:rPr>
        <w:t>Additional Problem 2</w:t>
      </w:r>
      <w:r>
        <w:rPr>
          <w:rFonts w:ascii="Century Gothic" w:hAnsi="Century Gothic"/>
          <w:b/>
          <w:bCs/>
        </w:rPr>
        <w:t>7</w:t>
      </w:r>
    </w:p>
    <w:p w:rsidR="005546E2" w:rsidRPr="00571FA4" w:rsidRDefault="005546E2" w:rsidP="005546E2">
      <w:pPr>
        <w:spacing w:line="360" w:lineRule="auto"/>
        <w:rPr>
          <w:rFonts w:ascii="Century Gothic" w:hAnsi="Century Gothic"/>
          <w:b/>
          <w:bCs/>
        </w:rPr>
      </w:pPr>
    </w:p>
    <w:p w:rsidR="005546E2" w:rsidRPr="00571FA4" w:rsidRDefault="005546E2" w:rsidP="005546E2">
      <w:pPr>
        <w:spacing w:line="360" w:lineRule="auto"/>
        <w:jc w:val="both"/>
        <w:rPr>
          <w:rFonts w:ascii="Century Gothic" w:hAnsi="Century Gothic"/>
        </w:rPr>
      </w:pPr>
      <w:r w:rsidRPr="00571FA4">
        <w:rPr>
          <w:rFonts w:ascii="Century Gothic" w:hAnsi="Century Gothic"/>
        </w:rPr>
        <w:t>Hilltop Hoods Ltd is considering diversifying its operations and is evaluating opportunities in the areas of Exploration of Mineral Resources, or Research and Development. They have asked your advice on the following issues:</w:t>
      </w:r>
    </w:p>
    <w:p w:rsidR="005546E2" w:rsidRPr="00571FA4" w:rsidRDefault="005546E2" w:rsidP="005546E2">
      <w:pPr>
        <w:spacing w:line="360" w:lineRule="auto"/>
        <w:ind w:left="567"/>
        <w:jc w:val="both"/>
        <w:rPr>
          <w:rFonts w:ascii="Century Gothic" w:hAnsi="Century Gothic"/>
        </w:rPr>
      </w:pPr>
    </w:p>
    <w:p w:rsidR="005546E2" w:rsidRPr="00571FA4" w:rsidRDefault="005546E2" w:rsidP="005546E2">
      <w:pPr>
        <w:numPr>
          <w:ilvl w:val="0"/>
          <w:numId w:val="3"/>
        </w:numPr>
        <w:spacing w:after="120" w:line="360" w:lineRule="auto"/>
        <w:ind w:left="1134" w:hanging="567"/>
        <w:jc w:val="both"/>
        <w:rPr>
          <w:rFonts w:ascii="Century Gothic" w:hAnsi="Century Gothic"/>
        </w:rPr>
      </w:pPr>
      <w:r w:rsidRPr="00571FA4">
        <w:rPr>
          <w:rFonts w:ascii="Century Gothic" w:hAnsi="Century Gothic"/>
        </w:rPr>
        <w:t>Briefly explain the accounting treatment required under appropriate Australian Accounting Standards if they spent money exploring for minerals.</w:t>
      </w:r>
    </w:p>
    <w:p w:rsidR="005546E2" w:rsidRPr="00571FA4" w:rsidRDefault="005546E2" w:rsidP="005546E2">
      <w:pPr>
        <w:numPr>
          <w:ilvl w:val="0"/>
          <w:numId w:val="3"/>
        </w:numPr>
        <w:spacing w:after="120" w:line="360" w:lineRule="auto"/>
        <w:ind w:left="1134" w:hanging="567"/>
        <w:jc w:val="both"/>
        <w:rPr>
          <w:rFonts w:ascii="Century Gothic" w:hAnsi="Century Gothic"/>
        </w:rPr>
      </w:pPr>
      <w:r w:rsidRPr="00571FA4">
        <w:rPr>
          <w:rFonts w:ascii="Century Gothic" w:hAnsi="Century Gothic"/>
        </w:rPr>
        <w:t>Briefly explain the accounting treatment required under appropriate Australian Accounting Standards if they spent money on research and development.</w:t>
      </w:r>
    </w:p>
    <w:p w:rsidR="005546E2" w:rsidRPr="00571FA4" w:rsidRDefault="005546E2" w:rsidP="005546E2">
      <w:pPr>
        <w:numPr>
          <w:ilvl w:val="0"/>
          <w:numId w:val="3"/>
        </w:numPr>
        <w:spacing w:after="120" w:line="360" w:lineRule="auto"/>
        <w:ind w:left="1134" w:hanging="567"/>
        <w:jc w:val="both"/>
        <w:rPr>
          <w:rFonts w:ascii="Century Gothic" w:hAnsi="Century Gothic"/>
        </w:rPr>
      </w:pPr>
      <w:r w:rsidRPr="00571FA4">
        <w:rPr>
          <w:rFonts w:ascii="Century Gothic" w:hAnsi="Century Gothic"/>
        </w:rPr>
        <w:t xml:space="preserve">Briefly explain how the rules in </w:t>
      </w:r>
      <w:proofErr w:type="spellStart"/>
      <w:r w:rsidRPr="00571FA4">
        <w:rPr>
          <w:rFonts w:ascii="Century Gothic" w:hAnsi="Century Gothic"/>
        </w:rPr>
        <w:t>i</w:t>
      </w:r>
      <w:proofErr w:type="spellEnd"/>
      <w:r w:rsidRPr="00571FA4">
        <w:rPr>
          <w:rFonts w:ascii="Century Gothic" w:hAnsi="Century Gothic"/>
        </w:rPr>
        <w:t>) and ii) are consistent or inconsistent with the definitions and recognition criteria of the elements as detailed in the Conceptual Framework.</w:t>
      </w:r>
    </w:p>
    <w:p w:rsidR="005546E2" w:rsidRDefault="005546E2" w:rsidP="005546E2">
      <w:pPr>
        <w:spacing w:line="360" w:lineRule="auto"/>
      </w:pPr>
    </w:p>
    <w:p w:rsidR="005546E2" w:rsidRDefault="005546E2" w:rsidP="005546E2">
      <w:pPr>
        <w:spacing w:line="360" w:lineRule="auto"/>
      </w:pPr>
    </w:p>
    <w:p w:rsidR="005546E2" w:rsidRDefault="005546E2" w:rsidP="005546E2">
      <w:pPr>
        <w:spacing w:line="360" w:lineRule="auto"/>
      </w:pPr>
    </w:p>
    <w:p w:rsidR="005546E2" w:rsidRDefault="005546E2" w:rsidP="005546E2">
      <w:pPr>
        <w:spacing w:line="360" w:lineRule="auto"/>
      </w:pPr>
    </w:p>
    <w:p w:rsidR="005546E2" w:rsidRDefault="005546E2" w:rsidP="005546E2">
      <w:pPr>
        <w:spacing w:line="360" w:lineRule="auto"/>
      </w:pPr>
    </w:p>
    <w:p w:rsidR="005546E2" w:rsidRDefault="005546E2" w:rsidP="005546E2">
      <w:pPr>
        <w:spacing w:line="360" w:lineRule="auto"/>
      </w:pPr>
    </w:p>
    <w:p w:rsidR="005546E2" w:rsidRDefault="005546E2" w:rsidP="005546E2">
      <w:pPr>
        <w:spacing w:line="360" w:lineRule="auto"/>
      </w:pPr>
    </w:p>
    <w:p w:rsidR="005546E2" w:rsidRDefault="005546E2" w:rsidP="005546E2">
      <w:pPr>
        <w:pStyle w:val="ListParagraph"/>
        <w:numPr>
          <w:ilvl w:val="0"/>
          <w:numId w:val="5"/>
        </w:numPr>
        <w:spacing w:line="360" w:lineRule="auto"/>
      </w:pPr>
      <w:r>
        <w:t xml:space="preserve">Exploration and evaluation model </w:t>
      </w:r>
    </w:p>
    <w:p w:rsidR="00000000" w:rsidRPr="005546E2" w:rsidRDefault="00B179DB" w:rsidP="005546E2">
      <w:pPr>
        <w:pStyle w:val="ListParagraph"/>
        <w:numPr>
          <w:ilvl w:val="1"/>
          <w:numId w:val="5"/>
        </w:numPr>
        <w:spacing w:line="360" w:lineRule="auto"/>
      </w:pPr>
      <w:r w:rsidRPr="005546E2">
        <w:t xml:space="preserve">Expense as incurred </w:t>
      </w:r>
      <w:r w:rsidRPr="005546E2">
        <w:t>OR</w:t>
      </w:r>
    </w:p>
    <w:p w:rsidR="00000000" w:rsidRPr="005546E2" w:rsidRDefault="00B179DB" w:rsidP="005546E2">
      <w:pPr>
        <w:pStyle w:val="ListParagraph"/>
        <w:numPr>
          <w:ilvl w:val="1"/>
          <w:numId w:val="5"/>
        </w:numPr>
        <w:spacing w:line="360" w:lineRule="auto"/>
      </w:pPr>
      <w:r w:rsidRPr="005546E2">
        <w:t xml:space="preserve">Can recognise as an Asset </w:t>
      </w:r>
      <w:proofErr w:type="gramStart"/>
      <w:r w:rsidRPr="005546E2">
        <w:t>if :</w:t>
      </w:r>
      <w:proofErr w:type="gramEnd"/>
    </w:p>
    <w:p w:rsidR="00000000" w:rsidRPr="005546E2" w:rsidRDefault="00B179DB" w:rsidP="005546E2">
      <w:pPr>
        <w:pStyle w:val="ListParagraph"/>
        <w:numPr>
          <w:ilvl w:val="2"/>
          <w:numId w:val="5"/>
        </w:numPr>
        <w:spacing w:line="360" w:lineRule="auto"/>
      </w:pPr>
      <w:r w:rsidRPr="005546E2">
        <w:t>a) such expenditure is expected to be recouped through successful</w:t>
      </w:r>
      <w:r w:rsidRPr="005546E2">
        <w:t xml:space="preserve"> development and exploitation </w:t>
      </w:r>
      <w:r w:rsidRPr="005546E2">
        <w:t>OR</w:t>
      </w:r>
    </w:p>
    <w:p w:rsidR="005546E2" w:rsidRDefault="00B179DB" w:rsidP="005546E2">
      <w:pPr>
        <w:pStyle w:val="ListParagraph"/>
        <w:numPr>
          <w:ilvl w:val="2"/>
          <w:numId w:val="5"/>
        </w:numPr>
        <w:spacing w:line="360" w:lineRule="auto"/>
      </w:pPr>
      <w:r w:rsidRPr="005546E2">
        <w:t xml:space="preserve">b) exploration has not reached a stage which permits a reasonable assessment of </w:t>
      </w:r>
      <w:r w:rsidR="005546E2" w:rsidRPr="005546E2">
        <w:t>economic</w:t>
      </w:r>
      <w:r w:rsidRPr="005546E2">
        <w:t xml:space="preserve"> poten</w:t>
      </w:r>
      <w:r w:rsidRPr="005546E2">
        <w:t>tial.</w:t>
      </w:r>
    </w:p>
    <w:p w:rsidR="005546E2" w:rsidRDefault="005546E2" w:rsidP="005546E2">
      <w:pPr>
        <w:pStyle w:val="ListParagraph"/>
        <w:numPr>
          <w:ilvl w:val="0"/>
          <w:numId w:val="5"/>
        </w:numPr>
        <w:spacing w:line="360" w:lineRule="auto"/>
      </w:pPr>
      <w:r>
        <w:t xml:space="preserve">Research and development- </w:t>
      </w:r>
    </w:p>
    <w:p w:rsidR="005546E2" w:rsidRDefault="005546E2" w:rsidP="005546E2">
      <w:pPr>
        <w:spacing w:line="360" w:lineRule="auto"/>
      </w:pPr>
      <w:r w:rsidRPr="005546E2">
        <w:t>a)  the technical feasibility that on completion it will be available for use or sale</w:t>
      </w:r>
    </w:p>
    <w:p w:rsidR="005546E2" w:rsidRPr="005546E2" w:rsidRDefault="005546E2" w:rsidP="005546E2">
      <w:pPr>
        <w:spacing w:line="360" w:lineRule="auto"/>
      </w:pPr>
      <w:r w:rsidRPr="005546E2">
        <w:t>b) the intention to complete and use or sell the IA</w:t>
      </w:r>
    </w:p>
    <w:p w:rsidR="005546E2" w:rsidRPr="005546E2" w:rsidRDefault="005546E2" w:rsidP="005546E2">
      <w:pPr>
        <w:spacing w:line="360" w:lineRule="auto"/>
      </w:pPr>
      <w:r w:rsidRPr="005546E2">
        <w:t>c) the ability to use or sell the IA</w:t>
      </w:r>
    </w:p>
    <w:p w:rsidR="005546E2" w:rsidRPr="005546E2" w:rsidRDefault="005546E2" w:rsidP="005546E2">
      <w:pPr>
        <w:spacing w:line="360" w:lineRule="auto"/>
      </w:pPr>
      <w:r w:rsidRPr="005546E2">
        <w:t>d) The IA will generate FEB i.e., demonstrate the existence of a market</w:t>
      </w:r>
    </w:p>
    <w:p w:rsidR="005546E2" w:rsidRPr="005546E2" w:rsidRDefault="005546E2" w:rsidP="005546E2">
      <w:pPr>
        <w:spacing w:line="360" w:lineRule="auto"/>
      </w:pPr>
      <w:r w:rsidRPr="005546E2">
        <w:t>e) the availability of adequate technical, financial and other resources to complete the development of the IA</w:t>
      </w:r>
    </w:p>
    <w:p w:rsidR="005546E2" w:rsidRPr="005546E2" w:rsidRDefault="005546E2" w:rsidP="005546E2">
      <w:pPr>
        <w:spacing w:line="360" w:lineRule="auto"/>
      </w:pPr>
      <w:r w:rsidRPr="005546E2">
        <w:t>f) ability to reliably measure the expenditure related to the development stage of the IA</w:t>
      </w:r>
    </w:p>
    <w:p w:rsidR="005546E2" w:rsidRDefault="005546E2" w:rsidP="005546E2">
      <w:pPr>
        <w:pStyle w:val="ListParagraph"/>
        <w:spacing w:line="360" w:lineRule="auto"/>
        <w:ind w:left="1080"/>
      </w:pPr>
    </w:p>
    <w:p w:rsidR="005546E2" w:rsidRPr="005546E2" w:rsidRDefault="00B179DB" w:rsidP="005546E2">
      <w:pPr>
        <w:pStyle w:val="ListParagraph"/>
        <w:numPr>
          <w:ilvl w:val="0"/>
          <w:numId w:val="5"/>
        </w:numPr>
        <w:spacing w:line="360" w:lineRule="auto"/>
      </w:pPr>
      <w:r w:rsidRPr="005546E2">
        <w:t xml:space="preserve">In theory, the “expense all research” requirement is in conflict with the CF which would argue that if it passes the A definition and recognition criteria, it should be recognised as an A. </w:t>
      </w:r>
      <w:r w:rsidRPr="005546E2">
        <w:t>In practical terms, the expensing of research expenditure would appear to be consistent with the &gt;.5 probability recognition criteria of an asset as defined under the framework. At that stage</w:t>
      </w:r>
      <w:r w:rsidRPr="005546E2">
        <w:t xml:space="preserve"> it would be difficult to say if there would be ‘future economic benefits’. </w:t>
      </w:r>
      <w:r w:rsidRPr="005546E2">
        <w:t xml:space="preserve">The 6 tests to recognise development as an Asset are not consistent with the requirement of only two (probable and </w:t>
      </w:r>
      <w:r w:rsidRPr="005546E2">
        <w:t>reliable measurement) within the CF recognition criteria</w:t>
      </w:r>
      <w:r w:rsidR="005546E2">
        <w:t xml:space="preserve">. </w:t>
      </w:r>
      <w:r w:rsidRPr="005546E2">
        <w:t>AASB 138 para 71 makes it clear that expenditure on intangibles that is expensed cannot then be reinstated as an asset – there is no re</w:t>
      </w:r>
      <w:r w:rsidRPr="005546E2">
        <w:t xml:space="preserve">versal. </w:t>
      </w:r>
      <w:r w:rsidR="005546E2">
        <w:t xml:space="preserve">However, </w:t>
      </w:r>
      <w:r w:rsidR="005546E2" w:rsidRPr="005546E2">
        <w:t>para 71 would appear to be an example of a conservatively mandated understanding of expenses in that even if the probability clearly changes then the recognition of the element cannot change. The CF would argue that if it eventually passes the A definition and recognition criteria, it must be recorded as an A.</w:t>
      </w:r>
    </w:p>
    <w:p w:rsidR="005546E2" w:rsidRDefault="005546E2" w:rsidP="005546E2">
      <w:pPr>
        <w:pStyle w:val="ListParagraph"/>
        <w:spacing w:line="360" w:lineRule="auto"/>
        <w:ind w:left="1080"/>
      </w:pPr>
    </w:p>
    <w:sectPr w:rsidR="005546E2"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C6828"/>
    <w:multiLevelType w:val="hybridMultilevel"/>
    <w:tmpl w:val="074A01D0"/>
    <w:lvl w:ilvl="0" w:tplc="C7B061FC">
      <w:start w:val="1"/>
      <w:numFmt w:val="bullet"/>
      <w:lvlText w:val="•"/>
      <w:lvlJc w:val="left"/>
      <w:pPr>
        <w:tabs>
          <w:tab w:val="num" w:pos="720"/>
        </w:tabs>
        <w:ind w:left="720" w:hanging="360"/>
      </w:pPr>
      <w:rPr>
        <w:rFonts w:ascii="Arial" w:hAnsi="Arial" w:hint="default"/>
      </w:rPr>
    </w:lvl>
    <w:lvl w:ilvl="1" w:tplc="8828FE28">
      <w:start w:val="1"/>
      <w:numFmt w:val="bullet"/>
      <w:lvlText w:val="•"/>
      <w:lvlJc w:val="left"/>
      <w:pPr>
        <w:tabs>
          <w:tab w:val="num" w:pos="1440"/>
        </w:tabs>
        <w:ind w:left="1440" w:hanging="360"/>
      </w:pPr>
      <w:rPr>
        <w:rFonts w:ascii="Arial" w:hAnsi="Arial" w:hint="default"/>
      </w:rPr>
    </w:lvl>
    <w:lvl w:ilvl="2" w:tplc="F620C812" w:tentative="1">
      <w:start w:val="1"/>
      <w:numFmt w:val="bullet"/>
      <w:lvlText w:val="•"/>
      <w:lvlJc w:val="left"/>
      <w:pPr>
        <w:tabs>
          <w:tab w:val="num" w:pos="2160"/>
        </w:tabs>
        <w:ind w:left="2160" w:hanging="360"/>
      </w:pPr>
      <w:rPr>
        <w:rFonts w:ascii="Arial" w:hAnsi="Arial" w:hint="default"/>
      </w:rPr>
    </w:lvl>
    <w:lvl w:ilvl="3" w:tplc="13A89890" w:tentative="1">
      <w:start w:val="1"/>
      <w:numFmt w:val="bullet"/>
      <w:lvlText w:val="•"/>
      <w:lvlJc w:val="left"/>
      <w:pPr>
        <w:tabs>
          <w:tab w:val="num" w:pos="2880"/>
        </w:tabs>
        <w:ind w:left="2880" w:hanging="360"/>
      </w:pPr>
      <w:rPr>
        <w:rFonts w:ascii="Arial" w:hAnsi="Arial" w:hint="default"/>
      </w:rPr>
    </w:lvl>
    <w:lvl w:ilvl="4" w:tplc="5B2C3B00" w:tentative="1">
      <w:start w:val="1"/>
      <w:numFmt w:val="bullet"/>
      <w:lvlText w:val="•"/>
      <w:lvlJc w:val="left"/>
      <w:pPr>
        <w:tabs>
          <w:tab w:val="num" w:pos="3600"/>
        </w:tabs>
        <w:ind w:left="3600" w:hanging="360"/>
      </w:pPr>
      <w:rPr>
        <w:rFonts w:ascii="Arial" w:hAnsi="Arial" w:hint="default"/>
      </w:rPr>
    </w:lvl>
    <w:lvl w:ilvl="5" w:tplc="C8F4CDFC" w:tentative="1">
      <w:start w:val="1"/>
      <w:numFmt w:val="bullet"/>
      <w:lvlText w:val="•"/>
      <w:lvlJc w:val="left"/>
      <w:pPr>
        <w:tabs>
          <w:tab w:val="num" w:pos="4320"/>
        </w:tabs>
        <w:ind w:left="4320" w:hanging="360"/>
      </w:pPr>
      <w:rPr>
        <w:rFonts w:ascii="Arial" w:hAnsi="Arial" w:hint="default"/>
      </w:rPr>
    </w:lvl>
    <w:lvl w:ilvl="6" w:tplc="EF84497E" w:tentative="1">
      <w:start w:val="1"/>
      <w:numFmt w:val="bullet"/>
      <w:lvlText w:val="•"/>
      <w:lvlJc w:val="left"/>
      <w:pPr>
        <w:tabs>
          <w:tab w:val="num" w:pos="5040"/>
        </w:tabs>
        <w:ind w:left="5040" w:hanging="360"/>
      </w:pPr>
      <w:rPr>
        <w:rFonts w:ascii="Arial" w:hAnsi="Arial" w:hint="default"/>
      </w:rPr>
    </w:lvl>
    <w:lvl w:ilvl="7" w:tplc="DBCE0DBA" w:tentative="1">
      <w:start w:val="1"/>
      <w:numFmt w:val="bullet"/>
      <w:lvlText w:val="•"/>
      <w:lvlJc w:val="left"/>
      <w:pPr>
        <w:tabs>
          <w:tab w:val="num" w:pos="5760"/>
        </w:tabs>
        <w:ind w:left="5760" w:hanging="360"/>
      </w:pPr>
      <w:rPr>
        <w:rFonts w:ascii="Arial" w:hAnsi="Arial" w:hint="default"/>
      </w:rPr>
    </w:lvl>
    <w:lvl w:ilvl="8" w:tplc="E8D0F25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CF7506"/>
    <w:multiLevelType w:val="hybridMultilevel"/>
    <w:tmpl w:val="7CC05342"/>
    <w:lvl w:ilvl="0" w:tplc="DD326AAC">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96E3C7C"/>
    <w:multiLevelType w:val="hybridMultilevel"/>
    <w:tmpl w:val="0B4E18A0"/>
    <w:lvl w:ilvl="0" w:tplc="2956362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E706C3E"/>
    <w:multiLevelType w:val="hybridMultilevel"/>
    <w:tmpl w:val="66BEFBDE"/>
    <w:lvl w:ilvl="0" w:tplc="BC42A2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111572"/>
    <w:multiLevelType w:val="hybridMultilevel"/>
    <w:tmpl w:val="CB74C1E0"/>
    <w:lvl w:ilvl="0" w:tplc="2F60F44E">
      <w:start w:val="1"/>
      <w:numFmt w:val="bullet"/>
      <w:lvlText w:val="•"/>
      <w:lvlJc w:val="left"/>
      <w:pPr>
        <w:tabs>
          <w:tab w:val="num" w:pos="720"/>
        </w:tabs>
        <w:ind w:left="720" w:hanging="360"/>
      </w:pPr>
      <w:rPr>
        <w:rFonts w:ascii="Arial" w:hAnsi="Arial" w:hint="default"/>
      </w:rPr>
    </w:lvl>
    <w:lvl w:ilvl="1" w:tplc="E0409086">
      <w:start w:val="1"/>
      <w:numFmt w:val="bullet"/>
      <w:lvlText w:val="•"/>
      <w:lvlJc w:val="left"/>
      <w:pPr>
        <w:tabs>
          <w:tab w:val="num" w:pos="1440"/>
        </w:tabs>
        <w:ind w:left="1440" w:hanging="360"/>
      </w:pPr>
      <w:rPr>
        <w:rFonts w:ascii="Arial" w:hAnsi="Arial" w:hint="default"/>
      </w:rPr>
    </w:lvl>
    <w:lvl w:ilvl="2" w:tplc="EB4C6D1C">
      <w:numFmt w:val="bullet"/>
      <w:lvlText w:val="•"/>
      <w:lvlJc w:val="left"/>
      <w:pPr>
        <w:tabs>
          <w:tab w:val="num" w:pos="2160"/>
        </w:tabs>
        <w:ind w:left="2160" w:hanging="360"/>
      </w:pPr>
      <w:rPr>
        <w:rFonts w:ascii="Times New Roman" w:hAnsi="Times New Roman" w:hint="default"/>
      </w:rPr>
    </w:lvl>
    <w:lvl w:ilvl="3" w:tplc="454AB2AE" w:tentative="1">
      <w:start w:val="1"/>
      <w:numFmt w:val="bullet"/>
      <w:lvlText w:val="•"/>
      <w:lvlJc w:val="left"/>
      <w:pPr>
        <w:tabs>
          <w:tab w:val="num" w:pos="2880"/>
        </w:tabs>
        <w:ind w:left="2880" w:hanging="360"/>
      </w:pPr>
      <w:rPr>
        <w:rFonts w:ascii="Arial" w:hAnsi="Arial" w:hint="default"/>
      </w:rPr>
    </w:lvl>
    <w:lvl w:ilvl="4" w:tplc="7522335A" w:tentative="1">
      <w:start w:val="1"/>
      <w:numFmt w:val="bullet"/>
      <w:lvlText w:val="•"/>
      <w:lvlJc w:val="left"/>
      <w:pPr>
        <w:tabs>
          <w:tab w:val="num" w:pos="3600"/>
        </w:tabs>
        <w:ind w:left="3600" w:hanging="360"/>
      </w:pPr>
      <w:rPr>
        <w:rFonts w:ascii="Arial" w:hAnsi="Arial" w:hint="default"/>
      </w:rPr>
    </w:lvl>
    <w:lvl w:ilvl="5" w:tplc="737009FE" w:tentative="1">
      <w:start w:val="1"/>
      <w:numFmt w:val="bullet"/>
      <w:lvlText w:val="•"/>
      <w:lvlJc w:val="left"/>
      <w:pPr>
        <w:tabs>
          <w:tab w:val="num" w:pos="4320"/>
        </w:tabs>
        <w:ind w:left="4320" w:hanging="360"/>
      </w:pPr>
      <w:rPr>
        <w:rFonts w:ascii="Arial" w:hAnsi="Arial" w:hint="default"/>
      </w:rPr>
    </w:lvl>
    <w:lvl w:ilvl="6" w:tplc="BFEE9936" w:tentative="1">
      <w:start w:val="1"/>
      <w:numFmt w:val="bullet"/>
      <w:lvlText w:val="•"/>
      <w:lvlJc w:val="left"/>
      <w:pPr>
        <w:tabs>
          <w:tab w:val="num" w:pos="5040"/>
        </w:tabs>
        <w:ind w:left="5040" w:hanging="360"/>
      </w:pPr>
      <w:rPr>
        <w:rFonts w:ascii="Arial" w:hAnsi="Arial" w:hint="default"/>
      </w:rPr>
    </w:lvl>
    <w:lvl w:ilvl="7" w:tplc="15C8097C" w:tentative="1">
      <w:start w:val="1"/>
      <w:numFmt w:val="bullet"/>
      <w:lvlText w:val="•"/>
      <w:lvlJc w:val="left"/>
      <w:pPr>
        <w:tabs>
          <w:tab w:val="num" w:pos="5760"/>
        </w:tabs>
        <w:ind w:left="5760" w:hanging="360"/>
      </w:pPr>
      <w:rPr>
        <w:rFonts w:ascii="Arial" w:hAnsi="Arial" w:hint="default"/>
      </w:rPr>
    </w:lvl>
    <w:lvl w:ilvl="8" w:tplc="46860FD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8062AF1"/>
    <w:multiLevelType w:val="hybridMultilevel"/>
    <w:tmpl w:val="9CC4AB70"/>
    <w:lvl w:ilvl="0" w:tplc="B59A420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8B3F15"/>
    <w:multiLevelType w:val="hybridMultilevel"/>
    <w:tmpl w:val="824E5522"/>
    <w:lvl w:ilvl="0" w:tplc="52F28E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CEB"/>
    <w:rsid w:val="00512BA3"/>
    <w:rsid w:val="005546E2"/>
    <w:rsid w:val="005A2CEB"/>
    <w:rsid w:val="009976B9"/>
    <w:rsid w:val="00B179DB"/>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4D1ED23"/>
  <w15:chartTrackingRefBased/>
  <w15:docId w15:val="{1B070569-8FCE-1348-8379-648BE6749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2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5A2C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A2CE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5A2CE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3">
    <w:name w:val="Grid Table 2 Accent 3"/>
    <w:basedOn w:val="TableNormal"/>
    <w:uiPriority w:val="47"/>
    <w:rsid w:val="005A2CEB"/>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2">
    <w:name w:val="Grid Table 2 Accent 2"/>
    <w:basedOn w:val="TableNormal"/>
    <w:uiPriority w:val="47"/>
    <w:rsid w:val="005A2CEB"/>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ListParagraph">
    <w:name w:val="List Paragraph"/>
    <w:basedOn w:val="Normal"/>
    <w:uiPriority w:val="34"/>
    <w:qFormat/>
    <w:rsid w:val="009976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666493">
      <w:bodyDiv w:val="1"/>
      <w:marLeft w:val="0"/>
      <w:marRight w:val="0"/>
      <w:marTop w:val="0"/>
      <w:marBottom w:val="0"/>
      <w:divBdr>
        <w:top w:val="none" w:sz="0" w:space="0" w:color="auto"/>
        <w:left w:val="none" w:sz="0" w:space="0" w:color="auto"/>
        <w:bottom w:val="none" w:sz="0" w:space="0" w:color="auto"/>
        <w:right w:val="none" w:sz="0" w:space="0" w:color="auto"/>
      </w:divBdr>
      <w:divsChild>
        <w:div w:id="389425179">
          <w:marLeft w:val="562"/>
          <w:marRight w:val="0"/>
          <w:marTop w:val="0"/>
          <w:marBottom w:val="0"/>
          <w:divBdr>
            <w:top w:val="none" w:sz="0" w:space="0" w:color="auto"/>
            <w:left w:val="none" w:sz="0" w:space="0" w:color="auto"/>
            <w:bottom w:val="none" w:sz="0" w:space="0" w:color="auto"/>
            <w:right w:val="none" w:sz="0" w:space="0" w:color="auto"/>
          </w:divBdr>
        </w:div>
        <w:div w:id="1566598982">
          <w:marLeft w:val="562"/>
          <w:marRight w:val="0"/>
          <w:marTop w:val="0"/>
          <w:marBottom w:val="0"/>
          <w:divBdr>
            <w:top w:val="none" w:sz="0" w:space="0" w:color="auto"/>
            <w:left w:val="none" w:sz="0" w:space="0" w:color="auto"/>
            <w:bottom w:val="none" w:sz="0" w:space="0" w:color="auto"/>
            <w:right w:val="none" w:sz="0" w:space="0" w:color="auto"/>
          </w:divBdr>
        </w:div>
        <w:div w:id="58870539">
          <w:marLeft w:val="850"/>
          <w:marRight w:val="0"/>
          <w:marTop w:val="77"/>
          <w:marBottom w:val="0"/>
          <w:divBdr>
            <w:top w:val="none" w:sz="0" w:space="0" w:color="auto"/>
            <w:left w:val="none" w:sz="0" w:space="0" w:color="auto"/>
            <w:bottom w:val="none" w:sz="0" w:space="0" w:color="auto"/>
            <w:right w:val="none" w:sz="0" w:space="0" w:color="auto"/>
          </w:divBdr>
        </w:div>
        <w:div w:id="773284415">
          <w:marLeft w:val="850"/>
          <w:marRight w:val="0"/>
          <w:marTop w:val="77"/>
          <w:marBottom w:val="0"/>
          <w:divBdr>
            <w:top w:val="none" w:sz="0" w:space="0" w:color="auto"/>
            <w:left w:val="none" w:sz="0" w:space="0" w:color="auto"/>
            <w:bottom w:val="none" w:sz="0" w:space="0" w:color="auto"/>
            <w:right w:val="none" w:sz="0" w:space="0" w:color="auto"/>
          </w:divBdr>
        </w:div>
      </w:divsChild>
    </w:div>
    <w:div w:id="1223904167">
      <w:bodyDiv w:val="1"/>
      <w:marLeft w:val="0"/>
      <w:marRight w:val="0"/>
      <w:marTop w:val="0"/>
      <w:marBottom w:val="0"/>
      <w:divBdr>
        <w:top w:val="none" w:sz="0" w:space="0" w:color="auto"/>
        <w:left w:val="none" w:sz="0" w:space="0" w:color="auto"/>
        <w:bottom w:val="none" w:sz="0" w:space="0" w:color="auto"/>
        <w:right w:val="none" w:sz="0" w:space="0" w:color="auto"/>
      </w:divBdr>
      <w:divsChild>
        <w:div w:id="590092506">
          <w:marLeft w:val="288"/>
          <w:marRight w:val="0"/>
          <w:marTop w:val="0"/>
          <w:marBottom w:val="0"/>
          <w:divBdr>
            <w:top w:val="none" w:sz="0" w:space="0" w:color="auto"/>
            <w:left w:val="none" w:sz="0" w:space="0" w:color="auto"/>
            <w:bottom w:val="none" w:sz="0" w:space="0" w:color="auto"/>
            <w:right w:val="none" w:sz="0" w:space="0" w:color="auto"/>
          </w:divBdr>
        </w:div>
        <w:div w:id="1551304233">
          <w:marLeft w:val="288"/>
          <w:marRight w:val="0"/>
          <w:marTop w:val="0"/>
          <w:marBottom w:val="0"/>
          <w:divBdr>
            <w:top w:val="none" w:sz="0" w:space="0" w:color="auto"/>
            <w:left w:val="none" w:sz="0" w:space="0" w:color="auto"/>
            <w:bottom w:val="none" w:sz="0" w:space="0" w:color="auto"/>
            <w:right w:val="none" w:sz="0" w:space="0" w:color="auto"/>
          </w:divBdr>
        </w:div>
        <w:div w:id="1444030003">
          <w:marLeft w:val="288"/>
          <w:marRight w:val="0"/>
          <w:marTop w:val="0"/>
          <w:marBottom w:val="0"/>
          <w:divBdr>
            <w:top w:val="none" w:sz="0" w:space="0" w:color="auto"/>
            <w:left w:val="none" w:sz="0" w:space="0" w:color="auto"/>
            <w:bottom w:val="none" w:sz="0" w:space="0" w:color="auto"/>
            <w:right w:val="none" w:sz="0" w:space="0" w:color="auto"/>
          </w:divBdr>
        </w:div>
        <w:div w:id="1252619214">
          <w:marLeft w:val="288"/>
          <w:marRight w:val="0"/>
          <w:marTop w:val="0"/>
          <w:marBottom w:val="0"/>
          <w:divBdr>
            <w:top w:val="none" w:sz="0" w:space="0" w:color="auto"/>
            <w:left w:val="none" w:sz="0" w:space="0" w:color="auto"/>
            <w:bottom w:val="none" w:sz="0" w:space="0" w:color="auto"/>
            <w:right w:val="none" w:sz="0" w:space="0" w:color="auto"/>
          </w:divBdr>
        </w:div>
      </w:divsChild>
    </w:div>
    <w:div w:id="145602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2</cp:revision>
  <dcterms:created xsi:type="dcterms:W3CDTF">2018-05-23T23:23:00Z</dcterms:created>
  <dcterms:modified xsi:type="dcterms:W3CDTF">2018-05-31T02:13:00Z</dcterms:modified>
</cp:coreProperties>
</file>