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228D" w:rsidRPr="00E90492" w:rsidRDefault="00B9228D" w:rsidP="00E90492">
      <w:pPr>
        <w:pStyle w:val="BodyText1"/>
        <w:spacing w:line="360" w:lineRule="auto"/>
        <w:rPr>
          <w:rFonts w:ascii="Century Gothic" w:hAnsi="Century Gothic"/>
          <w:sz w:val="22"/>
        </w:rPr>
      </w:pPr>
      <w:r w:rsidRPr="00E90492">
        <w:rPr>
          <w:rFonts w:ascii="Century Gothic" w:hAnsi="Century Gothic"/>
          <w:sz w:val="22"/>
        </w:rPr>
        <w:t>Week 9: Recording Inventory</w:t>
      </w:r>
    </w:p>
    <w:p w:rsidR="00B9228D" w:rsidRPr="00E90492" w:rsidRDefault="00B9228D" w:rsidP="00E90492">
      <w:pPr>
        <w:pStyle w:val="BodyText1"/>
        <w:spacing w:line="360" w:lineRule="auto"/>
        <w:rPr>
          <w:rFonts w:ascii="Century Gothic" w:hAnsi="Century Gothic"/>
          <w:sz w:val="22"/>
        </w:rPr>
      </w:pPr>
    </w:p>
    <w:p w:rsidR="00B9228D" w:rsidRPr="00E90492" w:rsidRDefault="00B9228D" w:rsidP="00E90492">
      <w:pPr>
        <w:pStyle w:val="BodyText1"/>
        <w:spacing w:line="360" w:lineRule="auto"/>
        <w:rPr>
          <w:rFonts w:ascii="Century Gothic" w:hAnsi="Century Gothic"/>
          <w:sz w:val="22"/>
        </w:rPr>
      </w:pPr>
      <w:r w:rsidRPr="00E90492">
        <w:rPr>
          <w:rFonts w:ascii="Century Gothic" w:hAnsi="Century Gothic"/>
          <w:sz w:val="22"/>
        </w:rPr>
        <w:t>Tutorial Questions</w:t>
      </w:r>
      <w:r w:rsidR="00E90492">
        <w:rPr>
          <w:rFonts w:ascii="Century Gothic" w:hAnsi="Century Gothic"/>
          <w:sz w:val="22"/>
        </w:rPr>
        <w:t xml:space="preserve">: </w:t>
      </w:r>
      <w:r w:rsidRPr="00E90492">
        <w:rPr>
          <w:rFonts w:ascii="Century Gothic" w:hAnsi="Century Gothic"/>
          <w:sz w:val="22"/>
        </w:rPr>
        <w:t>Chapter 5</w:t>
      </w:r>
    </w:p>
    <w:p w:rsidR="00E90492" w:rsidRPr="00E90492" w:rsidRDefault="00E90492" w:rsidP="00E90492">
      <w:pPr>
        <w:pStyle w:val="BodyText1"/>
        <w:spacing w:line="360" w:lineRule="auto"/>
        <w:rPr>
          <w:rFonts w:ascii="Century Gothic" w:hAnsi="Century Gothic"/>
          <w:sz w:val="22"/>
        </w:rPr>
      </w:pPr>
      <w:r>
        <w:rPr>
          <w:rFonts w:ascii="Century Gothic" w:hAnsi="Century Gothic"/>
          <w:sz w:val="22"/>
        </w:rPr>
        <w:t>BE5.3</w:t>
      </w:r>
    </w:p>
    <w:p w:rsidR="00E90492" w:rsidRDefault="00E90492" w:rsidP="00E90492">
      <w:pPr>
        <w:pStyle w:val="BodyText1"/>
        <w:spacing w:line="360" w:lineRule="auto"/>
        <w:rPr>
          <w:rFonts w:ascii="Century Gothic" w:hAnsi="Century Gothic"/>
          <w:sz w:val="22"/>
        </w:rPr>
      </w:pPr>
      <w:r w:rsidRPr="00E90492">
        <w:rPr>
          <w:rFonts w:ascii="Century Gothic" w:hAnsi="Century Gothic"/>
          <w:sz w:val="22"/>
        </w:rPr>
        <w:t xml:space="preserve">In its first month of operations, Cushion Ltd made three purchases of inventory in the following sequence: (1) 300 units at $12, (2) 400 units at $14, and (3) 500 units at $18. Assuming there are 400 units on hand, calculate the cost of the ending inventory under </w:t>
      </w:r>
    </w:p>
    <w:p w:rsidR="00E90492" w:rsidRDefault="00E90492" w:rsidP="00E90492">
      <w:pPr>
        <w:pStyle w:val="BodyText1"/>
        <w:spacing w:line="360" w:lineRule="auto"/>
        <w:rPr>
          <w:rFonts w:ascii="Century Gothic" w:hAnsi="Century Gothic"/>
          <w:sz w:val="22"/>
        </w:rPr>
      </w:pPr>
      <w:r w:rsidRPr="00E90492">
        <w:rPr>
          <w:rFonts w:ascii="Century Gothic" w:hAnsi="Century Gothic"/>
          <w:sz w:val="22"/>
        </w:rPr>
        <w:t>(a) the FIFO method </w:t>
      </w:r>
    </w:p>
    <w:p w:rsidR="00E90492" w:rsidRDefault="00E90492" w:rsidP="00E90492">
      <w:pPr>
        <w:pStyle w:val="BodyText1"/>
        <w:spacing w:line="360" w:lineRule="auto"/>
        <w:rPr>
          <w:rFonts w:ascii="Century Gothic" w:hAnsi="Century Gothic"/>
          <w:sz w:val="22"/>
        </w:rPr>
      </w:pPr>
    </w:p>
    <w:p w:rsidR="00E31485" w:rsidRDefault="00E31485" w:rsidP="00E90492">
      <w:pPr>
        <w:pStyle w:val="BodyText1"/>
        <w:spacing w:line="360" w:lineRule="auto"/>
        <w:rPr>
          <w:rFonts w:ascii="Century Gothic" w:hAnsi="Century Gothic"/>
          <w:sz w:val="22"/>
        </w:rPr>
      </w:pPr>
      <w:r>
        <w:rPr>
          <w:rFonts w:ascii="Century Gothic" w:hAnsi="Century Gothic"/>
          <w:sz w:val="22"/>
        </w:rPr>
        <w:t>300 X $12= $1200</w:t>
      </w:r>
    </w:p>
    <w:p w:rsidR="00E31485" w:rsidRDefault="00E31485" w:rsidP="00E90492">
      <w:pPr>
        <w:pStyle w:val="BodyText1"/>
        <w:spacing w:line="360" w:lineRule="auto"/>
        <w:rPr>
          <w:rFonts w:ascii="Century Gothic" w:hAnsi="Century Gothic"/>
          <w:sz w:val="22"/>
        </w:rPr>
      </w:pPr>
      <w:r>
        <w:rPr>
          <w:rFonts w:ascii="Century Gothic" w:hAnsi="Century Gothic"/>
          <w:sz w:val="22"/>
        </w:rPr>
        <w:t>400 X $14= $5600</w:t>
      </w:r>
    </w:p>
    <w:p w:rsidR="00E31485" w:rsidRDefault="00E31485" w:rsidP="00E90492">
      <w:pPr>
        <w:pStyle w:val="BodyText1"/>
        <w:spacing w:line="360" w:lineRule="auto"/>
        <w:rPr>
          <w:rFonts w:ascii="Century Gothic" w:hAnsi="Century Gothic"/>
          <w:sz w:val="22"/>
        </w:rPr>
      </w:pPr>
      <w:r>
        <w:rPr>
          <w:rFonts w:ascii="Century Gothic" w:hAnsi="Century Gothic"/>
          <w:sz w:val="22"/>
        </w:rPr>
        <w:t>500 X $18= $9000</w:t>
      </w:r>
    </w:p>
    <w:p w:rsidR="00E31485" w:rsidRDefault="00E31485" w:rsidP="00E90492">
      <w:pPr>
        <w:pStyle w:val="BodyText1"/>
        <w:spacing w:line="360" w:lineRule="auto"/>
        <w:rPr>
          <w:rFonts w:ascii="Century Gothic" w:hAnsi="Century Gothic"/>
          <w:sz w:val="22"/>
        </w:rPr>
      </w:pPr>
      <w:r>
        <w:rPr>
          <w:rFonts w:ascii="Century Gothic" w:hAnsi="Century Gothic"/>
          <w:sz w:val="22"/>
        </w:rPr>
        <w:t xml:space="preserve">There are 400 units on hand </w:t>
      </w:r>
    </w:p>
    <w:p w:rsidR="00E31485" w:rsidRDefault="00E31485" w:rsidP="00E90492">
      <w:pPr>
        <w:pStyle w:val="BodyText1"/>
        <w:spacing w:line="360" w:lineRule="auto"/>
        <w:rPr>
          <w:rFonts w:ascii="Century Gothic" w:hAnsi="Century Gothic"/>
          <w:sz w:val="22"/>
        </w:rPr>
      </w:pPr>
    </w:p>
    <w:p w:rsidR="00E31485" w:rsidRDefault="00E31485" w:rsidP="00E90492">
      <w:pPr>
        <w:pStyle w:val="BodyText1"/>
        <w:spacing w:line="360" w:lineRule="auto"/>
        <w:rPr>
          <w:rFonts w:ascii="Century Gothic" w:hAnsi="Century Gothic"/>
          <w:sz w:val="22"/>
        </w:rPr>
      </w:pPr>
      <w:r>
        <w:rPr>
          <w:rFonts w:ascii="Century Gothic" w:hAnsi="Century Gothic"/>
          <w:sz w:val="22"/>
        </w:rPr>
        <w:t xml:space="preserve">Hence, cost of goods sold for the period is </w:t>
      </w:r>
    </w:p>
    <w:p w:rsidR="00E31485" w:rsidRDefault="00E31485" w:rsidP="00E90492">
      <w:pPr>
        <w:pStyle w:val="BodyText1"/>
        <w:spacing w:line="360" w:lineRule="auto"/>
        <w:rPr>
          <w:rFonts w:ascii="Century Gothic" w:hAnsi="Century Gothic"/>
          <w:sz w:val="22"/>
        </w:rPr>
      </w:pPr>
      <w:r>
        <w:rPr>
          <w:rFonts w:ascii="Century Gothic" w:hAnsi="Century Gothic"/>
          <w:sz w:val="22"/>
        </w:rPr>
        <w:t>(300 X12) + (400 X 14) + (100 X 18) = $11,000</w:t>
      </w:r>
    </w:p>
    <w:p w:rsidR="00E31485" w:rsidRDefault="00E31485" w:rsidP="00E90492">
      <w:pPr>
        <w:pStyle w:val="BodyText1"/>
        <w:spacing w:line="360" w:lineRule="auto"/>
        <w:rPr>
          <w:rFonts w:ascii="Century Gothic" w:hAnsi="Century Gothic"/>
          <w:sz w:val="22"/>
        </w:rPr>
      </w:pPr>
    </w:p>
    <w:p w:rsidR="00E31485" w:rsidRDefault="00E31485" w:rsidP="00E90492">
      <w:pPr>
        <w:pStyle w:val="BodyText1"/>
        <w:spacing w:line="360" w:lineRule="auto"/>
        <w:rPr>
          <w:rFonts w:ascii="Century Gothic" w:hAnsi="Century Gothic"/>
          <w:sz w:val="22"/>
        </w:rPr>
      </w:pPr>
      <w:r>
        <w:rPr>
          <w:rFonts w:ascii="Century Gothic" w:hAnsi="Century Gothic"/>
          <w:sz w:val="22"/>
        </w:rPr>
        <w:t xml:space="preserve">Cost of ending inventory is 400 X 18= $ </w:t>
      </w:r>
    </w:p>
    <w:p w:rsidR="00E31485" w:rsidRDefault="00E31485" w:rsidP="00E90492">
      <w:pPr>
        <w:pStyle w:val="BodyText1"/>
        <w:spacing w:line="360" w:lineRule="auto"/>
        <w:rPr>
          <w:rFonts w:ascii="Century Gothic" w:hAnsi="Century Gothic"/>
          <w:sz w:val="22"/>
        </w:rPr>
      </w:pPr>
    </w:p>
    <w:p w:rsidR="00E90492" w:rsidRPr="00E90492" w:rsidRDefault="00E90492" w:rsidP="00E90492">
      <w:pPr>
        <w:pStyle w:val="BodyText1"/>
        <w:spacing w:line="360" w:lineRule="auto"/>
        <w:rPr>
          <w:rFonts w:ascii="Century Gothic" w:hAnsi="Century Gothic"/>
          <w:sz w:val="22"/>
        </w:rPr>
      </w:pPr>
    </w:p>
    <w:p w:rsidR="00B9228D" w:rsidRPr="00E90492" w:rsidRDefault="00B9228D" w:rsidP="00E90492">
      <w:pPr>
        <w:pStyle w:val="BodyText1"/>
        <w:spacing w:line="360" w:lineRule="auto"/>
        <w:ind w:left="360"/>
        <w:rPr>
          <w:rFonts w:ascii="Century Gothic" w:hAnsi="Century Gothic"/>
          <w:sz w:val="22"/>
        </w:rPr>
      </w:pPr>
      <w:r w:rsidRPr="00E90492">
        <w:rPr>
          <w:rFonts w:ascii="Century Gothic" w:hAnsi="Century Gothic"/>
          <w:sz w:val="22"/>
        </w:rPr>
        <w:t>Ex5.8, PSA5.3 (not LIFO)</w:t>
      </w:r>
    </w:p>
    <w:p w:rsidR="00B9228D" w:rsidRDefault="00B9228D" w:rsidP="00B9228D">
      <w:pPr>
        <w:spacing w:line="360" w:lineRule="auto"/>
        <w:rPr>
          <w:rFonts w:ascii="Century Gothic" w:hAnsi="Century Gothic"/>
        </w:rPr>
      </w:pPr>
      <w:r w:rsidRPr="00571FA4">
        <w:rPr>
          <w:rFonts w:ascii="Century Gothic" w:hAnsi="Century Gothic"/>
          <w:b/>
          <w:bCs/>
        </w:rPr>
        <w:t xml:space="preserve">Additional Problems </w:t>
      </w:r>
      <w:r>
        <w:rPr>
          <w:rFonts w:ascii="Century Gothic" w:hAnsi="Century Gothic"/>
          <w:b/>
          <w:bCs/>
        </w:rPr>
        <w:t>14</w:t>
      </w:r>
      <w:r w:rsidRPr="00571FA4">
        <w:rPr>
          <w:rFonts w:ascii="Century Gothic" w:hAnsi="Century Gothic"/>
          <w:b/>
          <w:bCs/>
        </w:rPr>
        <w:t xml:space="preserve">, </w:t>
      </w:r>
      <w:r>
        <w:rPr>
          <w:rFonts w:ascii="Century Gothic" w:hAnsi="Century Gothic"/>
          <w:b/>
          <w:bCs/>
        </w:rPr>
        <w:t>15</w:t>
      </w:r>
      <w:r w:rsidRPr="00571FA4">
        <w:rPr>
          <w:rFonts w:ascii="Century Gothic" w:hAnsi="Century Gothic"/>
          <w:b/>
          <w:bCs/>
        </w:rPr>
        <w:t xml:space="preserve">, </w:t>
      </w:r>
      <w:r>
        <w:rPr>
          <w:rFonts w:ascii="Century Gothic" w:hAnsi="Century Gothic"/>
          <w:b/>
          <w:bCs/>
        </w:rPr>
        <w:t>16</w:t>
      </w:r>
      <w:r w:rsidRPr="00571FA4">
        <w:rPr>
          <w:rFonts w:ascii="Century Gothic" w:hAnsi="Century Gothic"/>
          <w:b/>
          <w:bCs/>
        </w:rPr>
        <w:t xml:space="preserve"> and </w:t>
      </w:r>
      <w:r>
        <w:rPr>
          <w:rFonts w:ascii="Century Gothic" w:hAnsi="Century Gothic"/>
          <w:b/>
          <w:bCs/>
        </w:rPr>
        <w:t>17</w:t>
      </w:r>
      <w:r w:rsidRPr="00571FA4">
        <w:rPr>
          <w:rFonts w:ascii="Century Gothic" w:hAnsi="Century Gothic"/>
          <w:b/>
          <w:bCs/>
        </w:rPr>
        <w:t xml:space="preserve"> </w:t>
      </w:r>
      <w:r w:rsidRPr="00571FA4">
        <w:rPr>
          <w:rFonts w:ascii="Century Gothic" w:hAnsi="Century Gothic"/>
        </w:rPr>
        <w:t>from this document.</w:t>
      </w:r>
    </w:p>
    <w:p w:rsidR="00B9228D" w:rsidRDefault="00B9228D" w:rsidP="00B9228D">
      <w:pPr>
        <w:spacing w:line="360" w:lineRule="auto"/>
        <w:rPr>
          <w:rFonts w:ascii="Century Gothic" w:hAnsi="Century Gothic"/>
        </w:rPr>
      </w:pPr>
    </w:p>
    <w:p w:rsidR="00B9228D" w:rsidRPr="00571FA4" w:rsidRDefault="00B9228D" w:rsidP="00B9228D">
      <w:pPr>
        <w:pStyle w:val="BodyText1"/>
        <w:spacing w:line="360" w:lineRule="auto"/>
        <w:ind w:left="397" w:hanging="397"/>
        <w:rPr>
          <w:rFonts w:ascii="Century Gothic" w:hAnsi="Century Gothic"/>
          <w:b/>
          <w:sz w:val="24"/>
          <w:szCs w:val="24"/>
        </w:rPr>
      </w:pPr>
      <w:r w:rsidRPr="00571FA4">
        <w:rPr>
          <w:rFonts w:ascii="Century Gothic" w:hAnsi="Century Gothic"/>
          <w:b/>
          <w:sz w:val="24"/>
          <w:szCs w:val="24"/>
        </w:rPr>
        <w:t xml:space="preserve">Additional Problem </w:t>
      </w:r>
      <w:r>
        <w:rPr>
          <w:rFonts w:ascii="Century Gothic" w:hAnsi="Century Gothic"/>
          <w:b/>
          <w:sz w:val="24"/>
          <w:szCs w:val="24"/>
        </w:rPr>
        <w:t>14</w:t>
      </w:r>
    </w:p>
    <w:p w:rsidR="00B9228D" w:rsidRPr="00571FA4" w:rsidRDefault="00B9228D" w:rsidP="00B9228D">
      <w:pPr>
        <w:pStyle w:val="BodyText1"/>
        <w:spacing w:line="360" w:lineRule="auto"/>
        <w:ind w:left="397" w:hanging="397"/>
        <w:rPr>
          <w:rFonts w:ascii="Century Gothic" w:hAnsi="Century Gothic"/>
          <w:b/>
          <w:sz w:val="24"/>
          <w:szCs w:val="24"/>
        </w:rPr>
      </w:pPr>
      <w:r w:rsidRPr="00571FA4">
        <w:rPr>
          <w:rFonts w:ascii="Century Gothic" w:hAnsi="Century Gothic"/>
          <w:b/>
          <w:sz w:val="24"/>
          <w:szCs w:val="24"/>
        </w:rPr>
        <w:t xml:space="preserve"> </w:t>
      </w:r>
    </w:p>
    <w:p w:rsidR="00B9228D" w:rsidRDefault="00B9228D" w:rsidP="00B9228D">
      <w:pPr>
        <w:pStyle w:val="BodyText1"/>
        <w:numPr>
          <w:ilvl w:val="0"/>
          <w:numId w:val="1"/>
        </w:numPr>
        <w:spacing w:line="360" w:lineRule="auto"/>
        <w:rPr>
          <w:rFonts w:ascii="Century Gothic" w:hAnsi="Century Gothic"/>
          <w:sz w:val="22"/>
        </w:rPr>
      </w:pPr>
      <w:r w:rsidRPr="00571FA4">
        <w:rPr>
          <w:rFonts w:ascii="Century Gothic" w:hAnsi="Century Gothic"/>
          <w:sz w:val="22"/>
        </w:rPr>
        <w:t>Explain the components of the cost of inventory according to AASB102</w:t>
      </w:r>
    </w:p>
    <w:p w:rsidR="007323E4" w:rsidRDefault="007323E4" w:rsidP="007323E4">
      <w:pPr>
        <w:pStyle w:val="BodyText1"/>
        <w:numPr>
          <w:ilvl w:val="0"/>
          <w:numId w:val="2"/>
        </w:numPr>
        <w:spacing w:line="360" w:lineRule="auto"/>
        <w:rPr>
          <w:rFonts w:ascii="Century Gothic" w:hAnsi="Century Gothic"/>
          <w:sz w:val="22"/>
        </w:rPr>
      </w:pPr>
      <w:r>
        <w:rPr>
          <w:rFonts w:ascii="Century Gothic" w:hAnsi="Century Gothic"/>
          <w:sz w:val="22"/>
        </w:rPr>
        <w:t xml:space="preserve">The cost of purchase </w:t>
      </w:r>
    </w:p>
    <w:p w:rsidR="007323E4" w:rsidRDefault="007323E4" w:rsidP="007323E4">
      <w:pPr>
        <w:pStyle w:val="BodyText1"/>
        <w:numPr>
          <w:ilvl w:val="0"/>
          <w:numId w:val="2"/>
        </w:numPr>
        <w:spacing w:line="360" w:lineRule="auto"/>
        <w:rPr>
          <w:rFonts w:ascii="Century Gothic" w:hAnsi="Century Gothic"/>
          <w:sz w:val="22"/>
        </w:rPr>
      </w:pPr>
      <w:r>
        <w:rPr>
          <w:rFonts w:ascii="Century Gothic" w:hAnsi="Century Gothic"/>
          <w:sz w:val="22"/>
        </w:rPr>
        <w:t xml:space="preserve">The cost of conversion </w:t>
      </w:r>
    </w:p>
    <w:p w:rsidR="007323E4" w:rsidRDefault="007323E4" w:rsidP="007323E4">
      <w:pPr>
        <w:pStyle w:val="BodyText1"/>
        <w:numPr>
          <w:ilvl w:val="0"/>
          <w:numId w:val="2"/>
        </w:numPr>
        <w:spacing w:line="360" w:lineRule="auto"/>
        <w:rPr>
          <w:rFonts w:ascii="Century Gothic" w:hAnsi="Century Gothic"/>
          <w:sz w:val="22"/>
        </w:rPr>
      </w:pPr>
      <w:r>
        <w:rPr>
          <w:rFonts w:ascii="Century Gothic" w:hAnsi="Century Gothic"/>
          <w:sz w:val="22"/>
        </w:rPr>
        <w:t>Other costs incurred in the normal course of operation in bringing the inventories to their present location and condition</w:t>
      </w:r>
    </w:p>
    <w:p w:rsidR="00B9228D" w:rsidRPr="00571FA4" w:rsidRDefault="00B9228D" w:rsidP="00B9228D">
      <w:pPr>
        <w:pStyle w:val="BodyText1"/>
        <w:numPr>
          <w:ilvl w:val="0"/>
          <w:numId w:val="1"/>
        </w:numPr>
        <w:spacing w:line="360" w:lineRule="auto"/>
        <w:rPr>
          <w:rFonts w:ascii="Century Gothic" w:hAnsi="Century Gothic"/>
          <w:sz w:val="22"/>
        </w:rPr>
      </w:pPr>
      <w:r w:rsidRPr="00571FA4">
        <w:rPr>
          <w:rFonts w:ascii="Century Gothic" w:hAnsi="Century Gothic"/>
          <w:sz w:val="22"/>
        </w:rPr>
        <w:t>Briefly distinguish between the following costing methods</w:t>
      </w:r>
    </w:p>
    <w:p w:rsidR="007323E4" w:rsidRDefault="00B9228D" w:rsidP="007323E4">
      <w:pPr>
        <w:pStyle w:val="BodyText1"/>
        <w:numPr>
          <w:ilvl w:val="0"/>
          <w:numId w:val="3"/>
        </w:numPr>
        <w:spacing w:line="360" w:lineRule="auto"/>
        <w:rPr>
          <w:rFonts w:ascii="Century Gothic" w:hAnsi="Century Gothic"/>
          <w:sz w:val="22"/>
        </w:rPr>
      </w:pPr>
      <w:r w:rsidRPr="00571FA4">
        <w:rPr>
          <w:rFonts w:ascii="Century Gothic" w:hAnsi="Century Gothic"/>
          <w:sz w:val="22"/>
        </w:rPr>
        <w:t>Identified Cost</w:t>
      </w:r>
    </w:p>
    <w:p w:rsidR="007323E4" w:rsidRDefault="007323E4" w:rsidP="007323E4">
      <w:pPr>
        <w:pStyle w:val="BodyText1"/>
        <w:numPr>
          <w:ilvl w:val="0"/>
          <w:numId w:val="3"/>
        </w:numPr>
        <w:spacing w:line="360" w:lineRule="auto"/>
        <w:rPr>
          <w:rFonts w:ascii="Century Gothic" w:hAnsi="Century Gothic"/>
          <w:sz w:val="22"/>
        </w:rPr>
      </w:pPr>
      <w:r>
        <w:rPr>
          <w:rFonts w:ascii="Century Gothic" w:hAnsi="Century Gothic"/>
          <w:sz w:val="22"/>
        </w:rPr>
        <w:t>Weighted Average</w:t>
      </w:r>
    </w:p>
    <w:p w:rsidR="007323E4" w:rsidRDefault="007323E4" w:rsidP="007323E4">
      <w:pPr>
        <w:pStyle w:val="BodyText1"/>
        <w:numPr>
          <w:ilvl w:val="0"/>
          <w:numId w:val="3"/>
        </w:numPr>
        <w:spacing w:line="360" w:lineRule="auto"/>
        <w:rPr>
          <w:rFonts w:ascii="Century Gothic" w:hAnsi="Century Gothic"/>
          <w:sz w:val="22"/>
        </w:rPr>
      </w:pPr>
      <w:r>
        <w:rPr>
          <w:rFonts w:ascii="Century Gothic" w:hAnsi="Century Gothic"/>
          <w:sz w:val="22"/>
        </w:rPr>
        <w:lastRenderedPageBreak/>
        <w:t>FIFO</w:t>
      </w:r>
    </w:p>
    <w:p w:rsidR="00B9228D" w:rsidRPr="007323E4" w:rsidRDefault="00B9228D" w:rsidP="007323E4">
      <w:pPr>
        <w:pStyle w:val="BodyText1"/>
        <w:numPr>
          <w:ilvl w:val="0"/>
          <w:numId w:val="3"/>
        </w:numPr>
        <w:spacing w:line="360" w:lineRule="auto"/>
        <w:rPr>
          <w:rFonts w:ascii="Century Gothic" w:hAnsi="Century Gothic"/>
          <w:sz w:val="22"/>
        </w:rPr>
      </w:pPr>
      <w:r w:rsidRPr="007323E4">
        <w:rPr>
          <w:rFonts w:ascii="Century Gothic" w:hAnsi="Century Gothic"/>
          <w:sz w:val="22"/>
        </w:rPr>
        <w:t>LIFO</w:t>
      </w:r>
    </w:p>
    <w:p w:rsidR="00B9228D" w:rsidRDefault="00B9228D" w:rsidP="00B9228D">
      <w:pPr>
        <w:pStyle w:val="BodyText1"/>
        <w:numPr>
          <w:ilvl w:val="0"/>
          <w:numId w:val="1"/>
        </w:numPr>
        <w:spacing w:line="360" w:lineRule="auto"/>
        <w:rPr>
          <w:rFonts w:ascii="Century Gothic" w:hAnsi="Century Gothic"/>
          <w:sz w:val="22"/>
        </w:rPr>
      </w:pPr>
      <w:r w:rsidRPr="00571FA4">
        <w:rPr>
          <w:rFonts w:ascii="Century Gothic" w:hAnsi="Century Gothic"/>
          <w:sz w:val="22"/>
        </w:rPr>
        <w:t>If prices are rising what method of costing will result in the highest closing inventory</w:t>
      </w:r>
    </w:p>
    <w:p w:rsidR="007323E4" w:rsidRPr="007323E4" w:rsidRDefault="007323E4" w:rsidP="007323E4">
      <w:pPr>
        <w:pStyle w:val="BodyText1"/>
        <w:spacing w:line="360" w:lineRule="auto"/>
        <w:ind w:left="720"/>
        <w:rPr>
          <w:rFonts w:ascii="Century Gothic" w:hAnsi="Century Gothic"/>
          <w:sz w:val="22"/>
        </w:rPr>
      </w:pPr>
      <w:r>
        <w:rPr>
          <w:rFonts w:ascii="Century Gothic" w:hAnsi="Century Gothic"/>
          <w:sz w:val="22"/>
        </w:rPr>
        <w:t xml:space="preserve">Measurement basis of inventory in accounting framework is unspecified, hence we use the accounting standards which say that “Inventories must be measured at Lower of cost or Net Realisable Value Rule”. Which means that when instances arise where market price of inventory is less than the cost price due to obsolescence, damage or demand, the conservatism principle is implied to highlight the decrease in asset value. </w:t>
      </w:r>
    </w:p>
    <w:p w:rsidR="00B9228D" w:rsidRPr="00571FA4" w:rsidRDefault="00B9228D" w:rsidP="00B9228D">
      <w:pPr>
        <w:pStyle w:val="BodyText1"/>
        <w:numPr>
          <w:ilvl w:val="0"/>
          <w:numId w:val="1"/>
        </w:numPr>
        <w:spacing w:line="360" w:lineRule="auto"/>
        <w:rPr>
          <w:rFonts w:ascii="Century Gothic" w:hAnsi="Century Gothic"/>
          <w:sz w:val="22"/>
        </w:rPr>
      </w:pPr>
      <w:r w:rsidRPr="00571FA4">
        <w:rPr>
          <w:rFonts w:ascii="Century Gothic" w:hAnsi="Century Gothic"/>
          <w:sz w:val="22"/>
        </w:rPr>
        <w:t>Explain net realizable value according to the accounting standard</w:t>
      </w:r>
    </w:p>
    <w:p w:rsidR="00B9228D" w:rsidRDefault="00B9228D" w:rsidP="00B9228D">
      <w:pPr>
        <w:pStyle w:val="BodyText1"/>
        <w:spacing w:line="360" w:lineRule="auto"/>
        <w:ind w:left="397" w:hanging="397"/>
        <w:rPr>
          <w:rFonts w:ascii="Century Gothic" w:hAnsi="Century Gothic"/>
          <w:sz w:val="22"/>
        </w:rPr>
      </w:pPr>
      <w:r w:rsidRPr="00571FA4">
        <w:rPr>
          <w:rFonts w:ascii="Century Gothic" w:hAnsi="Century Gothic"/>
          <w:sz w:val="22"/>
        </w:rPr>
        <w:tab/>
      </w:r>
      <w:r w:rsidRPr="00571FA4">
        <w:rPr>
          <w:rFonts w:ascii="Century Gothic" w:hAnsi="Century Gothic"/>
          <w:sz w:val="22"/>
        </w:rPr>
        <w:tab/>
        <w:t>Include two examples of costs to make the sale</w:t>
      </w:r>
    </w:p>
    <w:p w:rsidR="007323E4" w:rsidRPr="00571FA4" w:rsidRDefault="007323E4" w:rsidP="007323E4">
      <w:pPr>
        <w:pStyle w:val="BodyText1"/>
        <w:spacing w:line="360" w:lineRule="auto"/>
        <w:ind w:left="720"/>
        <w:rPr>
          <w:rFonts w:ascii="Century Gothic" w:hAnsi="Century Gothic"/>
          <w:sz w:val="22"/>
        </w:rPr>
      </w:pPr>
      <w:r>
        <w:rPr>
          <w:rFonts w:ascii="Century Gothic" w:hAnsi="Century Gothic"/>
          <w:sz w:val="22"/>
        </w:rPr>
        <w:t>The net realisable value according to the ASSB 102 is the “estimated selling price in the ordinary course of business less the estimated costs of completion and the estimated costs necessary to make the sale”</w:t>
      </w:r>
    </w:p>
    <w:p w:rsidR="00B9228D" w:rsidRDefault="00B9228D" w:rsidP="00B9228D">
      <w:pPr>
        <w:pStyle w:val="BodyText1"/>
        <w:numPr>
          <w:ilvl w:val="0"/>
          <w:numId w:val="1"/>
        </w:numPr>
        <w:spacing w:line="360" w:lineRule="auto"/>
        <w:rPr>
          <w:rFonts w:ascii="Century Gothic" w:hAnsi="Century Gothic"/>
          <w:sz w:val="22"/>
        </w:rPr>
      </w:pPr>
      <w:r w:rsidRPr="00571FA4">
        <w:rPr>
          <w:rFonts w:ascii="Century Gothic" w:hAnsi="Century Gothic"/>
          <w:sz w:val="22"/>
        </w:rPr>
        <w:t>Explain the lower of cost and net realizable value rule according to the accounting standard</w:t>
      </w:r>
    </w:p>
    <w:p w:rsidR="007323E4" w:rsidRDefault="007323E4" w:rsidP="007323E4">
      <w:pPr>
        <w:pStyle w:val="BodyText1"/>
        <w:spacing w:line="360" w:lineRule="auto"/>
        <w:ind w:left="720"/>
        <w:rPr>
          <w:rFonts w:ascii="Century Gothic" w:hAnsi="Century Gothic"/>
          <w:sz w:val="22"/>
        </w:rPr>
      </w:pPr>
      <w:r>
        <w:rPr>
          <w:rFonts w:ascii="Century Gothic" w:hAnsi="Century Gothic"/>
          <w:sz w:val="22"/>
        </w:rPr>
        <w:t xml:space="preserve">According to the standard the rule is to record inventory at the lower of cost and net realisable value according to the conservatism principle. As this ensures that goods are not overestimated. </w:t>
      </w:r>
    </w:p>
    <w:p w:rsidR="00B9228D" w:rsidRDefault="00B9228D" w:rsidP="00B9228D">
      <w:pPr>
        <w:pStyle w:val="BodyText1"/>
        <w:numPr>
          <w:ilvl w:val="0"/>
          <w:numId w:val="1"/>
        </w:numPr>
        <w:spacing w:line="360" w:lineRule="auto"/>
        <w:rPr>
          <w:rFonts w:ascii="Century Gothic" w:hAnsi="Century Gothic"/>
          <w:sz w:val="22"/>
        </w:rPr>
      </w:pPr>
      <w:r w:rsidRPr="00571FA4">
        <w:rPr>
          <w:rFonts w:ascii="Century Gothic" w:hAnsi="Century Gothic"/>
          <w:sz w:val="22"/>
        </w:rPr>
        <w:t xml:space="preserve">Briefly explain what factors may lead to the Net </w:t>
      </w:r>
      <w:r w:rsidR="007323E4">
        <w:rPr>
          <w:rFonts w:ascii="Century Gothic" w:hAnsi="Century Gothic"/>
          <w:sz w:val="22"/>
        </w:rPr>
        <w:t>Realizable value falling below t</w:t>
      </w:r>
      <w:r w:rsidRPr="00571FA4">
        <w:rPr>
          <w:rFonts w:ascii="Century Gothic" w:hAnsi="Century Gothic"/>
          <w:sz w:val="22"/>
        </w:rPr>
        <w:t>he cost of inventory</w:t>
      </w:r>
    </w:p>
    <w:p w:rsidR="007323E4" w:rsidRDefault="007323E4" w:rsidP="007323E4">
      <w:pPr>
        <w:pStyle w:val="BodyText1"/>
        <w:numPr>
          <w:ilvl w:val="0"/>
          <w:numId w:val="4"/>
        </w:numPr>
        <w:spacing w:line="360" w:lineRule="auto"/>
        <w:rPr>
          <w:rFonts w:ascii="Century Gothic" w:hAnsi="Century Gothic"/>
          <w:sz w:val="22"/>
        </w:rPr>
      </w:pPr>
      <w:r>
        <w:rPr>
          <w:rFonts w:ascii="Century Gothic" w:hAnsi="Century Gothic"/>
          <w:sz w:val="22"/>
        </w:rPr>
        <w:t xml:space="preserve">Obsolete  </w:t>
      </w:r>
    </w:p>
    <w:p w:rsidR="007323E4" w:rsidRDefault="007323E4" w:rsidP="007323E4">
      <w:pPr>
        <w:pStyle w:val="BodyText1"/>
        <w:numPr>
          <w:ilvl w:val="0"/>
          <w:numId w:val="4"/>
        </w:numPr>
        <w:spacing w:line="360" w:lineRule="auto"/>
        <w:rPr>
          <w:rFonts w:ascii="Century Gothic" w:hAnsi="Century Gothic"/>
          <w:sz w:val="22"/>
        </w:rPr>
      </w:pPr>
      <w:r>
        <w:rPr>
          <w:rFonts w:ascii="Century Gothic" w:hAnsi="Century Gothic"/>
          <w:sz w:val="22"/>
        </w:rPr>
        <w:t xml:space="preserve">Demand </w:t>
      </w:r>
    </w:p>
    <w:p w:rsidR="007323E4" w:rsidRDefault="007323E4" w:rsidP="007323E4">
      <w:pPr>
        <w:pStyle w:val="BodyText1"/>
        <w:numPr>
          <w:ilvl w:val="0"/>
          <w:numId w:val="4"/>
        </w:numPr>
        <w:spacing w:line="360" w:lineRule="auto"/>
        <w:rPr>
          <w:rFonts w:ascii="Century Gothic" w:hAnsi="Century Gothic"/>
          <w:sz w:val="22"/>
        </w:rPr>
      </w:pPr>
      <w:r>
        <w:rPr>
          <w:rFonts w:ascii="Century Gothic" w:hAnsi="Century Gothic"/>
          <w:sz w:val="22"/>
        </w:rPr>
        <w:t>Damage</w:t>
      </w:r>
    </w:p>
    <w:p w:rsidR="00E90492" w:rsidRDefault="00E90492" w:rsidP="00E90492">
      <w:pPr>
        <w:pStyle w:val="BodyText1"/>
        <w:spacing w:line="360" w:lineRule="auto"/>
        <w:ind w:left="1080"/>
        <w:rPr>
          <w:rFonts w:ascii="Century Gothic" w:hAnsi="Century Gothic"/>
          <w:sz w:val="22"/>
        </w:rPr>
      </w:pPr>
    </w:p>
    <w:p w:rsidR="00E90492" w:rsidRPr="00571FA4" w:rsidRDefault="00E90492" w:rsidP="00E90492">
      <w:pPr>
        <w:tabs>
          <w:tab w:val="left" w:pos="720"/>
          <w:tab w:val="right" w:pos="9026"/>
        </w:tabs>
        <w:suppressAutoHyphens/>
        <w:jc w:val="both"/>
        <w:rPr>
          <w:rFonts w:ascii="Century Gothic" w:hAnsi="Century Gothic"/>
          <w:b/>
        </w:rPr>
      </w:pPr>
      <w:r w:rsidRPr="00571FA4">
        <w:rPr>
          <w:rFonts w:ascii="Century Gothic" w:hAnsi="Century Gothic"/>
          <w:b/>
        </w:rPr>
        <w:t>Additional Problem 1</w:t>
      </w:r>
      <w:r>
        <w:rPr>
          <w:rFonts w:ascii="Century Gothic" w:hAnsi="Century Gothic"/>
          <w:b/>
        </w:rPr>
        <w:t>7</w:t>
      </w:r>
      <w:r w:rsidRPr="00571FA4">
        <w:rPr>
          <w:rFonts w:ascii="Century Gothic" w:hAnsi="Century Gothic"/>
          <w:b/>
        </w:rPr>
        <w:tab/>
      </w:r>
    </w:p>
    <w:p w:rsidR="00E90492" w:rsidRPr="00571FA4" w:rsidRDefault="00E90492" w:rsidP="00E90492">
      <w:pPr>
        <w:tabs>
          <w:tab w:val="left" w:pos="720"/>
          <w:tab w:val="right" w:pos="9026"/>
        </w:tabs>
        <w:suppressAutoHyphens/>
        <w:ind w:left="720" w:hanging="720"/>
        <w:jc w:val="both"/>
        <w:rPr>
          <w:rFonts w:ascii="Century Gothic" w:hAnsi="Century Gothic"/>
        </w:rPr>
      </w:pPr>
    </w:p>
    <w:p w:rsidR="00E90492" w:rsidRPr="00571FA4" w:rsidRDefault="00E90492" w:rsidP="00E90492">
      <w:pPr>
        <w:jc w:val="both"/>
        <w:rPr>
          <w:rFonts w:ascii="Century Gothic" w:hAnsi="Century Gothic"/>
        </w:rPr>
      </w:pPr>
      <w:r w:rsidRPr="00571FA4">
        <w:rPr>
          <w:rFonts w:ascii="Century Gothic" w:hAnsi="Century Gothic"/>
        </w:rPr>
        <w:t xml:space="preserve">Hardwick Artwork Pty Ltd is in business selling framed prints of classic paintings. The prints are produced on high-quality paper and to the highest possible standards, so they are expensive to purchase from the importer. </w:t>
      </w:r>
    </w:p>
    <w:p w:rsidR="00E90492" w:rsidRPr="00571FA4" w:rsidRDefault="00E90492" w:rsidP="00E90492">
      <w:pPr>
        <w:rPr>
          <w:rFonts w:ascii="Century Gothic" w:hAnsi="Century Gothic"/>
        </w:rPr>
      </w:pPr>
    </w:p>
    <w:p w:rsidR="00E90492" w:rsidRPr="00571FA4" w:rsidRDefault="00E90492" w:rsidP="00E90492">
      <w:pPr>
        <w:jc w:val="both"/>
        <w:rPr>
          <w:rFonts w:ascii="Century Gothic" w:hAnsi="Century Gothic"/>
        </w:rPr>
      </w:pPr>
      <w:r w:rsidRPr="00571FA4">
        <w:rPr>
          <w:rFonts w:ascii="Century Gothic" w:hAnsi="Century Gothic"/>
        </w:rPr>
        <w:t>Pricing the prints is difficult because popularity of a print is difficult to predict. Sometimes prints do not sell well at all and are then disposed of in bulk for use in hotels and motels. The transaction data on two recent prints are as follows:</w:t>
      </w:r>
    </w:p>
    <w:p w:rsidR="00E90492" w:rsidRPr="00571FA4" w:rsidRDefault="00E90492" w:rsidP="00E90492">
      <w:pPr>
        <w:rPr>
          <w:rFonts w:ascii="Century Gothic" w:hAnsi="Century Gothic"/>
        </w:rPr>
      </w:pPr>
    </w:p>
    <w:tbl>
      <w:tblPr>
        <w:tblW w:w="0" w:type="auto"/>
        <w:tblLook w:val="04A0" w:firstRow="1" w:lastRow="0" w:firstColumn="1" w:lastColumn="0" w:noHBand="0" w:noVBand="1"/>
      </w:tblPr>
      <w:tblGrid>
        <w:gridCol w:w="3438"/>
        <w:gridCol w:w="763"/>
        <w:gridCol w:w="1847"/>
        <w:gridCol w:w="1134"/>
        <w:gridCol w:w="1746"/>
      </w:tblGrid>
      <w:tr w:rsidR="00E90492" w:rsidRPr="00571FA4" w:rsidTr="00764797">
        <w:tc>
          <w:tcPr>
            <w:tcW w:w="3438" w:type="dxa"/>
          </w:tcPr>
          <w:p w:rsidR="00E90492" w:rsidRPr="00571FA4" w:rsidRDefault="00E90492" w:rsidP="00764797">
            <w:pPr>
              <w:rPr>
                <w:rFonts w:ascii="Century Gothic" w:hAnsi="Century Gothic"/>
              </w:rPr>
            </w:pPr>
          </w:p>
        </w:tc>
        <w:tc>
          <w:tcPr>
            <w:tcW w:w="2610" w:type="dxa"/>
            <w:gridSpan w:val="2"/>
          </w:tcPr>
          <w:p w:rsidR="00E90492" w:rsidRPr="00571FA4" w:rsidRDefault="00E90492" w:rsidP="00764797">
            <w:pPr>
              <w:jc w:val="center"/>
              <w:rPr>
                <w:rFonts w:ascii="Century Gothic" w:hAnsi="Century Gothic"/>
                <w:b/>
                <w:bCs/>
              </w:rPr>
            </w:pPr>
            <w:r w:rsidRPr="00571FA4">
              <w:rPr>
                <w:rFonts w:ascii="Century Gothic" w:hAnsi="Century Gothic"/>
                <w:b/>
                <w:bCs/>
              </w:rPr>
              <w:t>City scene print</w:t>
            </w:r>
          </w:p>
        </w:tc>
        <w:tc>
          <w:tcPr>
            <w:tcW w:w="2880" w:type="dxa"/>
            <w:gridSpan w:val="2"/>
          </w:tcPr>
          <w:p w:rsidR="00E90492" w:rsidRPr="00571FA4" w:rsidRDefault="00E90492" w:rsidP="00764797">
            <w:pPr>
              <w:jc w:val="center"/>
              <w:rPr>
                <w:rFonts w:ascii="Century Gothic" w:hAnsi="Century Gothic"/>
                <w:b/>
                <w:bCs/>
              </w:rPr>
            </w:pPr>
            <w:r w:rsidRPr="00571FA4">
              <w:rPr>
                <w:rFonts w:ascii="Century Gothic" w:hAnsi="Century Gothic"/>
                <w:b/>
                <w:bCs/>
              </w:rPr>
              <w:t xml:space="preserve">  Rural scene print</w:t>
            </w:r>
          </w:p>
        </w:tc>
      </w:tr>
      <w:tr w:rsidR="00E90492" w:rsidRPr="00571FA4" w:rsidTr="00764797">
        <w:tc>
          <w:tcPr>
            <w:tcW w:w="3438" w:type="dxa"/>
          </w:tcPr>
          <w:p w:rsidR="00E90492" w:rsidRPr="00571FA4" w:rsidRDefault="00E90492" w:rsidP="00764797">
            <w:pPr>
              <w:rPr>
                <w:rFonts w:ascii="Century Gothic" w:hAnsi="Century Gothic"/>
                <w:b/>
                <w:bCs/>
              </w:rPr>
            </w:pPr>
          </w:p>
        </w:tc>
        <w:tc>
          <w:tcPr>
            <w:tcW w:w="763" w:type="dxa"/>
          </w:tcPr>
          <w:p w:rsidR="00E90492" w:rsidRPr="00571FA4" w:rsidRDefault="00E90492" w:rsidP="00764797">
            <w:pPr>
              <w:jc w:val="right"/>
              <w:rPr>
                <w:rFonts w:ascii="Century Gothic" w:hAnsi="Century Gothic"/>
                <w:b/>
              </w:rPr>
            </w:pPr>
            <w:r w:rsidRPr="00571FA4">
              <w:rPr>
                <w:rFonts w:ascii="Century Gothic" w:hAnsi="Century Gothic"/>
                <w:b/>
              </w:rPr>
              <w:t>Units</w:t>
            </w:r>
          </w:p>
        </w:tc>
        <w:tc>
          <w:tcPr>
            <w:tcW w:w="1847" w:type="dxa"/>
          </w:tcPr>
          <w:p w:rsidR="00E90492" w:rsidRPr="00571FA4" w:rsidRDefault="00E90492" w:rsidP="00764797">
            <w:pPr>
              <w:ind w:left="176"/>
              <w:jc w:val="center"/>
              <w:rPr>
                <w:rFonts w:ascii="Century Gothic" w:hAnsi="Century Gothic"/>
                <w:b/>
              </w:rPr>
            </w:pPr>
            <w:r w:rsidRPr="00571FA4">
              <w:rPr>
                <w:rFonts w:ascii="Century Gothic" w:hAnsi="Century Gothic"/>
                <w:b/>
              </w:rPr>
              <w:t>Cost per Unit</w:t>
            </w:r>
          </w:p>
          <w:p w:rsidR="00E90492" w:rsidRPr="00571FA4" w:rsidRDefault="00E90492" w:rsidP="00764797">
            <w:pPr>
              <w:ind w:left="176"/>
              <w:jc w:val="center"/>
              <w:rPr>
                <w:rFonts w:ascii="Century Gothic" w:hAnsi="Century Gothic"/>
                <w:b/>
              </w:rPr>
            </w:pPr>
            <w:r w:rsidRPr="00571FA4">
              <w:rPr>
                <w:rFonts w:ascii="Century Gothic" w:hAnsi="Century Gothic"/>
                <w:b/>
              </w:rPr>
              <w:t>$</w:t>
            </w:r>
          </w:p>
        </w:tc>
        <w:tc>
          <w:tcPr>
            <w:tcW w:w="1134" w:type="dxa"/>
          </w:tcPr>
          <w:p w:rsidR="00E90492" w:rsidRPr="00571FA4" w:rsidRDefault="00E90492" w:rsidP="00764797">
            <w:pPr>
              <w:jc w:val="right"/>
              <w:rPr>
                <w:rFonts w:ascii="Century Gothic" w:hAnsi="Century Gothic"/>
                <w:b/>
              </w:rPr>
            </w:pPr>
            <w:r w:rsidRPr="00571FA4">
              <w:rPr>
                <w:rFonts w:ascii="Century Gothic" w:hAnsi="Century Gothic"/>
                <w:b/>
              </w:rPr>
              <w:t>Units</w:t>
            </w:r>
          </w:p>
        </w:tc>
        <w:tc>
          <w:tcPr>
            <w:tcW w:w="1746" w:type="dxa"/>
          </w:tcPr>
          <w:p w:rsidR="00E90492" w:rsidRPr="00571FA4" w:rsidRDefault="00E90492" w:rsidP="00764797">
            <w:pPr>
              <w:jc w:val="center"/>
              <w:rPr>
                <w:rFonts w:ascii="Century Gothic" w:hAnsi="Century Gothic"/>
                <w:b/>
              </w:rPr>
            </w:pPr>
            <w:r w:rsidRPr="00571FA4">
              <w:rPr>
                <w:rFonts w:ascii="Century Gothic" w:hAnsi="Century Gothic"/>
                <w:b/>
              </w:rPr>
              <w:t>Cost per Unit</w:t>
            </w:r>
          </w:p>
          <w:p w:rsidR="00E90492" w:rsidRPr="00571FA4" w:rsidRDefault="00E90492" w:rsidP="00764797">
            <w:pPr>
              <w:jc w:val="center"/>
              <w:rPr>
                <w:rFonts w:ascii="Century Gothic" w:hAnsi="Century Gothic"/>
                <w:b/>
              </w:rPr>
            </w:pPr>
            <w:r w:rsidRPr="00571FA4">
              <w:rPr>
                <w:rFonts w:ascii="Century Gothic" w:hAnsi="Century Gothic"/>
                <w:b/>
              </w:rPr>
              <w:t>$</w:t>
            </w:r>
          </w:p>
        </w:tc>
      </w:tr>
      <w:tr w:rsidR="00E90492" w:rsidRPr="00571FA4" w:rsidTr="00764797">
        <w:tc>
          <w:tcPr>
            <w:tcW w:w="3438" w:type="dxa"/>
          </w:tcPr>
          <w:p w:rsidR="00E90492" w:rsidRPr="00571FA4" w:rsidRDefault="00E90492" w:rsidP="00764797">
            <w:pPr>
              <w:rPr>
                <w:rFonts w:ascii="Century Gothic" w:hAnsi="Century Gothic"/>
              </w:rPr>
            </w:pPr>
            <w:r w:rsidRPr="00571FA4">
              <w:rPr>
                <w:rFonts w:ascii="Century Gothic" w:hAnsi="Century Gothic"/>
              </w:rPr>
              <w:t>Inventory, 1 July 2013</w:t>
            </w:r>
          </w:p>
        </w:tc>
        <w:tc>
          <w:tcPr>
            <w:tcW w:w="763" w:type="dxa"/>
          </w:tcPr>
          <w:p w:rsidR="00E90492" w:rsidRPr="00571FA4" w:rsidRDefault="00E90492" w:rsidP="00764797">
            <w:pPr>
              <w:jc w:val="right"/>
              <w:rPr>
                <w:rFonts w:ascii="Century Gothic" w:hAnsi="Century Gothic"/>
              </w:rPr>
            </w:pPr>
            <w:r w:rsidRPr="00571FA4">
              <w:rPr>
                <w:rFonts w:ascii="Century Gothic" w:hAnsi="Century Gothic"/>
              </w:rPr>
              <w:t>4</w:t>
            </w:r>
          </w:p>
        </w:tc>
        <w:tc>
          <w:tcPr>
            <w:tcW w:w="1847" w:type="dxa"/>
          </w:tcPr>
          <w:p w:rsidR="00E90492" w:rsidRPr="00571FA4" w:rsidRDefault="00E90492" w:rsidP="00764797">
            <w:pPr>
              <w:tabs>
                <w:tab w:val="decimal" w:pos="1109"/>
              </w:tabs>
              <w:rPr>
                <w:rFonts w:ascii="Century Gothic" w:hAnsi="Century Gothic"/>
              </w:rPr>
            </w:pPr>
            <w:r w:rsidRPr="00571FA4">
              <w:rPr>
                <w:rFonts w:ascii="Century Gothic" w:hAnsi="Century Gothic"/>
              </w:rPr>
              <w:t>340</w:t>
            </w:r>
          </w:p>
        </w:tc>
        <w:tc>
          <w:tcPr>
            <w:tcW w:w="1134" w:type="dxa"/>
          </w:tcPr>
          <w:p w:rsidR="00E90492" w:rsidRPr="00571FA4" w:rsidRDefault="00E90492" w:rsidP="00764797">
            <w:pPr>
              <w:jc w:val="right"/>
              <w:rPr>
                <w:rFonts w:ascii="Century Gothic" w:hAnsi="Century Gothic"/>
              </w:rPr>
            </w:pPr>
            <w:r w:rsidRPr="00571FA4">
              <w:rPr>
                <w:rFonts w:ascii="Century Gothic" w:hAnsi="Century Gothic"/>
              </w:rPr>
              <w:t>11</w:t>
            </w:r>
          </w:p>
        </w:tc>
        <w:tc>
          <w:tcPr>
            <w:tcW w:w="1746" w:type="dxa"/>
          </w:tcPr>
          <w:p w:rsidR="00E90492" w:rsidRPr="00571FA4" w:rsidRDefault="00E90492" w:rsidP="00764797">
            <w:pPr>
              <w:tabs>
                <w:tab w:val="decimal" w:pos="918"/>
              </w:tabs>
              <w:rPr>
                <w:rFonts w:ascii="Century Gothic" w:hAnsi="Century Gothic"/>
              </w:rPr>
            </w:pPr>
            <w:r w:rsidRPr="00571FA4">
              <w:rPr>
                <w:rFonts w:ascii="Century Gothic" w:hAnsi="Century Gothic"/>
              </w:rPr>
              <w:t>500</w:t>
            </w:r>
          </w:p>
        </w:tc>
      </w:tr>
      <w:tr w:rsidR="00E90492" w:rsidRPr="00571FA4" w:rsidTr="00764797">
        <w:tc>
          <w:tcPr>
            <w:tcW w:w="3438" w:type="dxa"/>
          </w:tcPr>
          <w:p w:rsidR="00E90492" w:rsidRPr="00571FA4" w:rsidRDefault="00E90492" w:rsidP="00764797">
            <w:pPr>
              <w:rPr>
                <w:rFonts w:ascii="Century Gothic" w:hAnsi="Century Gothic"/>
              </w:rPr>
            </w:pPr>
            <w:r w:rsidRPr="00571FA4">
              <w:rPr>
                <w:rFonts w:ascii="Century Gothic" w:hAnsi="Century Gothic"/>
              </w:rPr>
              <w:t>Purchases during 2013 – 2014:</w:t>
            </w:r>
          </w:p>
        </w:tc>
        <w:tc>
          <w:tcPr>
            <w:tcW w:w="763" w:type="dxa"/>
          </w:tcPr>
          <w:p w:rsidR="00E90492" w:rsidRPr="00571FA4" w:rsidRDefault="00E90492" w:rsidP="00764797">
            <w:pPr>
              <w:jc w:val="right"/>
              <w:rPr>
                <w:rFonts w:ascii="Century Gothic" w:hAnsi="Century Gothic"/>
              </w:rPr>
            </w:pPr>
          </w:p>
        </w:tc>
        <w:tc>
          <w:tcPr>
            <w:tcW w:w="1847" w:type="dxa"/>
          </w:tcPr>
          <w:p w:rsidR="00E90492" w:rsidRPr="00571FA4" w:rsidRDefault="00E90492" w:rsidP="00764797">
            <w:pPr>
              <w:tabs>
                <w:tab w:val="decimal" w:pos="1109"/>
              </w:tabs>
              <w:rPr>
                <w:rFonts w:ascii="Century Gothic" w:hAnsi="Century Gothic"/>
              </w:rPr>
            </w:pPr>
          </w:p>
        </w:tc>
        <w:tc>
          <w:tcPr>
            <w:tcW w:w="1134" w:type="dxa"/>
          </w:tcPr>
          <w:p w:rsidR="00E90492" w:rsidRPr="00571FA4" w:rsidRDefault="00E90492" w:rsidP="00764797">
            <w:pPr>
              <w:jc w:val="right"/>
              <w:rPr>
                <w:rFonts w:ascii="Century Gothic" w:hAnsi="Century Gothic"/>
              </w:rPr>
            </w:pPr>
          </w:p>
        </w:tc>
        <w:tc>
          <w:tcPr>
            <w:tcW w:w="1746" w:type="dxa"/>
          </w:tcPr>
          <w:p w:rsidR="00E90492" w:rsidRPr="00571FA4" w:rsidRDefault="00E90492" w:rsidP="00764797">
            <w:pPr>
              <w:tabs>
                <w:tab w:val="decimal" w:pos="918"/>
              </w:tabs>
              <w:rPr>
                <w:rFonts w:ascii="Century Gothic" w:hAnsi="Century Gothic"/>
              </w:rPr>
            </w:pPr>
          </w:p>
        </w:tc>
      </w:tr>
      <w:tr w:rsidR="00E90492" w:rsidRPr="00571FA4" w:rsidTr="00764797">
        <w:tc>
          <w:tcPr>
            <w:tcW w:w="3438" w:type="dxa"/>
          </w:tcPr>
          <w:p w:rsidR="00E90492" w:rsidRPr="00571FA4" w:rsidRDefault="00E90492" w:rsidP="00764797">
            <w:pPr>
              <w:ind w:left="426"/>
              <w:rPr>
                <w:rFonts w:ascii="Century Gothic" w:hAnsi="Century Gothic"/>
              </w:rPr>
            </w:pPr>
            <w:r w:rsidRPr="00571FA4">
              <w:rPr>
                <w:rFonts w:ascii="Century Gothic" w:hAnsi="Century Gothic"/>
              </w:rPr>
              <w:t>During July-December 2013</w:t>
            </w:r>
          </w:p>
        </w:tc>
        <w:tc>
          <w:tcPr>
            <w:tcW w:w="763" w:type="dxa"/>
          </w:tcPr>
          <w:p w:rsidR="00E90492" w:rsidRPr="00571FA4" w:rsidRDefault="00E90492" w:rsidP="00764797">
            <w:pPr>
              <w:jc w:val="right"/>
              <w:rPr>
                <w:rFonts w:ascii="Century Gothic" w:hAnsi="Century Gothic"/>
              </w:rPr>
            </w:pPr>
            <w:r w:rsidRPr="00571FA4">
              <w:rPr>
                <w:rFonts w:ascii="Century Gothic" w:hAnsi="Century Gothic"/>
              </w:rPr>
              <w:t>10</w:t>
            </w:r>
          </w:p>
        </w:tc>
        <w:tc>
          <w:tcPr>
            <w:tcW w:w="1847" w:type="dxa"/>
          </w:tcPr>
          <w:p w:rsidR="00E90492" w:rsidRPr="00571FA4" w:rsidRDefault="00E90492" w:rsidP="00764797">
            <w:pPr>
              <w:tabs>
                <w:tab w:val="decimal" w:pos="1109"/>
              </w:tabs>
              <w:rPr>
                <w:rFonts w:ascii="Century Gothic" w:hAnsi="Century Gothic"/>
              </w:rPr>
            </w:pPr>
            <w:r w:rsidRPr="00571FA4">
              <w:rPr>
                <w:rFonts w:ascii="Century Gothic" w:hAnsi="Century Gothic"/>
              </w:rPr>
              <w:t>350</w:t>
            </w:r>
          </w:p>
        </w:tc>
        <w:tc>
          <w:tcPr>
            <w:tcW w:w="1134" w:type="dxa"/>
          </w:tcPr>
          <w:p w:rsidR="00E90492" w:rsidRPr="00571FA4" w:rsidRDefault="00E90492" w:rsidP="00764797">
            <w:pPr>
              <w:jc w:val="right"/>
              <w:rPr>
                <w:rFonts w:ascii="Century Gothic" w:hAnsi="Century Gothic"/>
              </w:rPr>
            </w:pPr>
            <w:r w:rsidRPr="00571FA4">
              <w:rPr>
                <w:rFonts w:ascii="Century Gothic" w:hAnsi="Century Gothic"/>
              </w:rPr>
              <w:t>25</w:t>
            </w:r>
          </w:p>
        </w:tc>
        <w:tc>
          <w:tcPr>
            <w:tcW w:w="1746" w:type="dxa"/>
          </w:tcPr>
          <w:p w:rsidR="00E90492" w:rsidRPr="00571FA4" w:rsidRDefault="00E90492" w:rsidP="00764797">
            <w:pPr>
              <w:tabs>
                <w:tab w:val="decimal" w:pos="918"/>
              </w:tabs>
              <w:rPr>
                <w:rFonts w:ascii="Century Gothic" w:hAnsi="Century Gothic"/>
              </w:rPr>
            </w:pPr>
            <w:r w:rsidRPr="00571FA4">
              <w:rPr>
                <w:rFonts w:ascii="Century Gothic" w:hAnsi="Century Gothic"/>
              </w:rPr>
              <w:t>480</w:t>
            </w:r>
          </w:p>
        </w:tc>
      </w:tr>
      <w:tr w:rsidR="00E90492" w:rsidRPr="00571FA4" w:rsidTr="00764797">
        <w:tc>
          <w:tcPr>
            <w:tcW w:w="3438" w:type="dxa"/>
          </w:tcPr>
          <w:p w:rsidR="00E90492" w:rsidRPr="00571FA4" w:rsidRDefault="00E90492" w:rsidP="00764797">
            <w:pPr>
              <w:ind w:left="426"/>
              <w:rPr>
                <w:rFonts w:ascii="Century Gothic" w:hAnsi="Century Gothic"/>
              </w:rPr>
            </w:pPr>
            <w:r w:rsidRPr="00571FA4">
              <w:rPr>
                <w:rFonts w:ascii="Century Gothic" w:hAnsi="Century Gothic"/>
              </w:rPr>
              <w:t>During January – June 2014</w:t>
            </w:r>
          </w:p>
        </w:tc>
        <w:tc>
          <w:tcPr>
            <w:tcW w:w="763" w:type="dxa"/>
          </w:tcPr>
          <w:p w:rsidR="00E90492" w:rsidRPr="00571FA4" w:rsidRDefault="00E90492" w:rsidP="00764797">
            <w:pPr>
              <w:jc w:val="right"/>
              <w:rPr>
                <w:rFonts w:ascii="Century Gothic" w:hAnsi="Century Gothic"/>
              </w:rPr>
            </w:pPr>
            <w:r w:rsidRPr="00571FA4">
              <w:rPr>
                <w:rFonts w:ascii="Century Gothic" w:hAnsi="Century Gothic"/>
              </w:rPr>
              <w:t>15</w:t>
            </w:r>
          </w:p>
        </w:tc>
        <w:tc>
          <w:tcPr>
            <w:tcW w:w="1847" w:type="dxa"/>
          </w:tcPr>
          <w:p w:rsidR="00E90492" w:rsidRPr="00571FA4" w:rsidRDefault="00E90492" w:rsidP="00764797">
            <w:pPr>
              <w:tabs>
                <w:tab w:val="decimal" w:pos="1109"/>
              </w:tabs>
              <w:rPr>
                <w:rFonts w:ascii="Century Gothic" w:hAnsi="Century Gothic"/>
              </w:rPr>
            </w:pPr>
            <w:r w:rsidRPr="00571FA4">
              <w:rPr>
                <w:rFonts w:ascii="Century Gothic" w:hAnsi="Century Gothic"/>
              </w:rPr>
              <w:t>330</w:t>
            </w:r>
          </w:p>
        </w:tc>
        <w:tc>
          <w:tcPr>
            <w:tcW w:w="1134" w:type="dxa"/>
          </w:tcPr>
          <w:p w:rsidR="00E90492" w:rsidRPr="00571FA4" w:rsidRDefault="00E90492" w:rsidP="00764797">
            <w:pPr>
              <w:jc w:val="right"/>
              <w:rPr>
                <w:rFonts w:ascii="Century Gothic" w:hAnsi="Century Gothic"/>
              </w:rPr>
            </w:pPr>
            <w:r w:rsidRPr="00571FA4">
              <w:rPr>
                <w:rFonts w:ascii="Century Gothic" w:hAnsi="Century Gothic"/>
              </w:rPr>
              <w:t>30</w:t>
            </w:r>
          </w:p>
        </w:tc>
        <w:tc>
          <w:tcPr>
            <w:tcW w:w="1746" w:type="dxa"/>
          </w:tcPr>
          <w:p w:rsidR="00E90492" w:rsidRPr="00571FA4" w:rsidRDefault="00E90492" w:rsidP="00764797">
            <w:pPr>
              <w:tabs>
                <w:tab w:val="decimal" w:pos="918"/>
              </w:tabs>
              <w:rPr>
                <w:rFonts w:ascii="Century Gothic" w:hAnsi="Century Gothic"/>
              </w:rPr>
            </w:pPr>
            <w:r w:rsidRPr="00571FA4">
              <w:rPr>
                <w:rFonts w:ascii="Century Gothic" w:hAnsi="Century Gothic"/>
              </w:rPr>
              <w:t>510</w:t>
            </w:r>
          </w:p>
        </w:tc>
      </w:tr>
      <w:tr w:rsidR="00E90492" w:rsidRPr="00571FA4" w:rsidTr="00764797">
        <w:tc>
          <w:tcPr>
            <w:tcW w:w="3438" w:type="dxa"/>
          </w:tcPr>
          <w:p w:rsidR="00E90492" w:rsidRPr="00571FA4" w:rsidRDefault="00E90492" w:rsidP="00764797">
            <w:pPr>
              <w:rPr>
                <w:rFonts w:ascii="Century Gothic" w:hAnsi="Century Gothic"/>
              </w:rPr>
            </w:pPr>
            <w:r w:rsidRPr="00571FA4">
              <w:rPr>
                <w:rFonts w:ascii="Century Gothic" w:hAnsi="Century Gothic"/>
              </w:rPr>
              <w:t>Sales during 2013 – 2014</w:t>
            </w:r>
          </w:p>
        </w:tc>
        <w:tc>
          <w:tcPr>
            <w:tcW w:w="763" w:type="dxa"/>
          </w:tcPr>
          <w:p w:rsidR="00E90492" w:rsidRPr="00571FA4" w:rsidRDefault="00E90492" w:rsidP="00764797">
            <w:pPr>
              <w:jc w:val="right"/>
              <w:rPr>
                <w:rFonts w:ascii="Century Gothic" w:hAnsi="Century Gothic"/>
              </w:rPr>
            </w:pPr>
            <w:r w:rsidRPr="00571FA4">
              <w:rPr>
                <w:rFonts w:ascii="Century Gothic" w:hAnsi="Century Gothic"/>
              </w:rPr>
              <w:t>13</w:t>
            </w:r>
          </w:p>
        </w:tc>
        <w:tc>
          <w:tcPr>
            <w:tcW w:w="1847" w:type="dxa"/>
          </w:tcPr>
          <w:p w:rsidR="00E90492" w:rsidRPr="00571FA4" w:rsidRDefault="00E90492" w:rsidP="00764797">
            <w:pPr>
              <w:jc w:val="right"/>
              <w:rPr>
                <w:rFonts w:ascii="Century Gothic" w:hAnsi="Century Gothic"/>
              </w:rPr>
            </w:pPr>
          </w:p>
        </w:tc>
        <w:tc>
          <w:tcPr>
            <w:tcW w:w="1134" w:type="dxa"/>
          </w:tcPr>
          <w:p w:rsidR="00E90492" w:rsidRPr="00571FA4" w:rsidRDefault="00E90492" w:rsidP="00764797">
            <w:pPr>
              <w:jc w:val="right"/>
              <w:rPr>
                <w:rFonts w:ascii="Century Gothic" w:hAnsi="Century Gothic"/>
              </w:rPr>
            </w:pPr>
            <w:r w:rsidRPr="00571FA4">
              <w:rPr>
                <w:rFonts w:ascii="Century Gothic" w:hAnsi="Century Gothic"/>
              </w:rPr>
              <w:t>38</w:t>
            </w:r>
          </w:p>
        </w:tc>
        <w:tc>
          <w:tcPr>
            <w:tcW w:w="1746" w:type="dxa"/>
          </w:tcPr>
          <w:p w:rsidR="00E90492" w:rsidRPr="00571FA4" w:rsidRDefault="00E90492" w:rsidP="00764797">
            <w:pPr>
              <w:tabs>
                <w:tab w:val="decimal" w:pos="918"/>
              </w:tabs>
              <w:rPr>
                <w:rFonts w:ascii="Century Gothic" w:hAnsi="Century Gothic"/>
              </w:rPr>
            </w:pPr>
          </w:p>
        </w:tc>
      </w:tr>
    </w:tbl>
    <w:p w:rsidR="00E90492" w:rsidRPr="00571FA4" w:rsidRDefault="00E90492" w:rsidP="00E90492">
      <w:pPr>
        <w:tabs>
          <w:tab w:val="left" w:pos="360"/>
          <w:tab w:val="left" w:pos="720"/>
          <w:tab w:val="right" w:pos="3960"/>
          <w:tab w:val="right" w:pos="5040"/>
          <w:tab w:val="right" w:pos="6840"/>
          <w:tab w:val="right" w:pos="7920"/>
        </w:tabs>
        <w:rPr>
          <w:rFonts w:ascii="Century Gothic" w:hAnsi="Century Gothic"/>
        </w:rPr>
      </w:pPr>
    </w:p>
    <w:p w:rsidR="00E90492" w:rsidRPr="00571FA4" w:rsidRDefault="00E90492" w:rsidP="00E90492">
      <w:pPr>
        <w:jc w:val="both"/>
        <w:rPr>
          <w:rFonts w:ascii="Century Gothic" w:hAnsi="Century Gothic"/>
        </w:rPr>
      </w:pPr>
      <w:r w:rsidRPr="00571FA4">
        <w:rPr>
          <w:rFonts w:ascii="Century Gothic" w:hAnsi="Century Gothic"/>
        </w:rPr>
        <w:t>Purchase of the city scene print requires payment of an import duty of $50 per print. The latest selling price of city scene prints was $650 per print.</w:t>
      </w:r>
    </w:p>
    <w:p w:rsidR="00E90492" w:rsidRPr="00571FA4" w:rsidRDefault="00E90492" w:rsidP="00E90492">
      <w:pPr>
        <w:jc w:val="both"/>
        <w:rPr>
          <w:rFonts w:ascii="Century Gothic" w:hAnsi="Century Gothic"/>
        </w:rPr>
      </w:pPr>
    </w:p>
    <w:p w:rsidR="00E90492" w:rsidRPr="00571FA4" w:rsidRDefault="00E90492" w:rsidP="00E90492">
      <w:pPr>
        <w:jc w:val="both"/>
        <w:rPr>
          <w:rFonts w:ascii="Century Gothic" w:hAnsi="Century Gothic"/>
        </w:rPr>
      </w:pPr>
      <w:r w:rsidRPr="00571FA4">
        <w:rPr>
          <w:rFonts w:ascii="Century Gothic" w:hAnsi="Century Gothic"/>
        </w:rPr>
        <w:t xml:space="preserve">The rural scene print has not sold any copies since March 2014. In late June 2014, a country motel chain offered $300 each for all the rural scene prints that Hardwick Artwork has left, if Hardwick Artwork will pay the $30 per print freight cost. Hardwick Artwork management realises this is the highest offer they are likely to receive. </w:t>
      </w:r>
    </w:p>
    <w:p w:rsidR="00E90492" w:rsidRPr="00571FA4" w:rsidRDefault="00E90492" w:rsidP="00E90492">
      <w:pPr>
        <w:tabs>
          <w:tab w:val="left" w:pos="360"/>
          <w:tab w:val="left" w:pos="720"/>
          <w:tab w:val="right" w:pos="3960"/>
          <w:tab w:val="right" w:pos="5040"/>
          <w:tab w:val="right" w:pos="6840"/>
          <w:tab w:val="right" w:pos="7920"/>
        </w:tabs>
        <w:rPr>
          <w:rFonts w:ascii="Century Gothic" w:hAnsi="Century Gothic"/>
        </w:rPr>
      </w:pPr>
    </w:p>
    <w:p w:rsidR="00E90492" w:rsidRPr="00571FA4" w:rsidRDefault="00E90492" w:rsidP="00E90492">
      <w:pPr>
        <w:tabs>
          <w:tab w:val="left" w:pos="360"/>
          <w:tab w:val="left" w:pos="720"/>
          <w:tab w:val="right" w:pos="3960"/>
          <w:tab w:val="right" w:pos="5040"/>
          <w:tab w:val="right" w:pos="6840"/>
          <w:tab w:val="right" w:pos="7920"/>
        </w:tabs>
        <w:rPr>
          <w:rFonts w:ascii="Century Gothic" w:hAnsi="Century Gothic"/>
          <w:b/>
          <w:bCs/>
        </w:rPr>
      </w:pPr>
      <w:r w:rsidRPr="00571FA4">
        <w:rPr>
          <w:rFonts w:ascii="Century Gothic" w:hAnsi="Century Gothic"/>
          <w:b/>
          <w:bCs/>
        </w:rPr>
        <w:t>Required:</w:t>
      </w:r>
    </w:p>
    <w:p w:rsidR="00E90492" w:rsidRPr="00571FA4" w:rsidRDefault="00E90492" w:rsidP="00E90492">
      <w:pPr>
        <w:tabs>
          <w:tab w:val="left" w:pos="360"/>
          <w:tab w:val="left" w:pos="720"/>
          <w:tab w:val="right" w:pos="3960"/>
          <w:tab w:val="right" w:pos="5040"/>
          <w:tab w:val="right" w:pos="6840"/>
          <w:tab w:val="right" w:pos="7920"/>
        </w:tabs>
        <w:rPr>
          <w:rFonts w:ascii="Century Gothic" w:hAnsi="Century Gothic"/>
        </w:rPr>
      </w:pPr>
    </w:p>
    <w:p w:rsidR="00E90492" w:rsidRPr="00571FA4" w:rsidRDefault="00E90492" w:rsidP="00E90492">
      <w:pPr>
        <w:numPr>
          <w:ilvl w:val="0"/>
          <w:numId w:val="5"/>
        </w:numPr>
        <w:spacing w:line="276" w:lineRule="auto"/>
        <w:ind w:left="709" w:hanging="709"/>
        <w:jc w:val="both"/>
        <w:rPr>
          <w:rFonts w:ascii="Century Gothic" w:hAnsi="Century Gothic"/>
        </w:rPr>
      </w:pPr>
      <w:r w:rsidRPr="00571FA4">
        <w:rPr>
          <w:rFonts w:ascii="Century Gothic" w:hAnsi="Century Gothic"/>
        </w:rPr>
        <w:t>Calculate the following:</w:t>
      </w:r>
    </w:p>
    <w:p w:rsidR="00E90492" w:rsidRDefault="00E90492" w:rsidP="00E90492">
      <w:pPr>
        <w:numPr>
          <w:ilvl w:val="0"/>
          <w:numId w:val="6"/>
        </w:numPr>
        <w:tabs>
          <w:tab w:val="left" w:pos="360"/>
        </w:tabs>
        <w:spacing w:line="276" w:lineRule="auto"/>
        <w:ind w:left="1418" w:hanging="709"/>
        <w:jc w:val="both"/>
        <w:rPr>
          <w:rFonts w:ascii="Century Gothic" w:hAnsi="Century Gothic"/>
        </w:rPr>
      </w:pPr>
      <w:r w:rsidRPr="00571FA4">
        <w:rPr>
          <w:rFonts w:ascii="Century Gothic" w:hAnsi="Century Gothic"/>
        </w:rPr>
        <w:t>Ending inventory value for the city scene print as at 30 June 2014, using a FIFO cost flow assumption.</w:t>
      </w:r>
    </w:p>
    <w:p w:rsidR="00E90492" w:rsidRDefault="00E90492" w:rsidP="00E90492">
      <w:pPr>
        <w:tabs>
          <w:tab w:val="left" w:pos="360"/>
        </w:tabs>
        <w:spacing w:line="276" w:lineRule="auto"/>
        <w:ind w:left="1418"/>
        <w:jc w:val="both"/>
        <w:rPr>
          <w:rFonts w:ascii="Century Gothic" w:hAnsi="Century Gothic"/>
        </w:rPr>
      </w:pPr>
      <w:r>
        <w:rPr>
          <w:rFonts w:ascii="Century Gothic" w:hAnsi="Century Gothic"/>
        </w:rPr>
        <w:t xml:space="preserve">Identify costs which attach to inventory </w:t>
      </w:r>
    </w:p>
    <w:p w:rsidR="00E90492" w:rsidRDefault="00E90492" w:rsidP="00E90492">
      <w:pPr>
        <w:tabs>
          <w:tab w:val="left" w:pos="360"/>
        </w:tabs>
        <w:spacing w:line="276" w:lineRule="auto"/>
        <w:ind w:left="1418"/>
        <w:jc w:val="both"/>
        <w:rPr>
          <w:rFonts w:ascii="Century Gothic" w:hAnsi="Century Gothic"/>
        </w:rPr>
      </w:pPr>
      <w:r>
        <w:rPr>
          <w:rFonts w:ascii="Century Gothic" w:hAnsi="Century Gothic"/>
        </w:rPr>
        <w:t xml:space="preserve">Select a cost determination method </w:t>
      </w:r>
    </w:p>
    <w:p w:rsidR="00E90492" w:rsidRDefault="00E90492" w:rsidP="00E90492">
      <w:pPr>
        <w:tabs>
          <w:tab w:val="left" w:pos="360"/>
        </w:tabs>
        <w:spacing w:line="276" w:lineRule="auto"/>
        <w:ind w:left="1418"/>
        <w:jc w:val="both"/>
        <w:rPr>
          <w:rFonts w:ascii="Century Gothic" w:hAnsi="Century Gothic"/>
        </w:rPr>
      </w:pPr>
      <w:r>
        <w:rPr>
          <w:rFonts w:ascii="Century Gothic" w:hAnsi="Century Gothic"/>
        </w:rPr>
        <w:t xml:space="preserve">Determine cost of product on the basis chosen </w:t>
      </w:r>
    </w:p>
    <w:p w:rsidR="00E90492" w:rsidRDefault="00E90492" w:rsidP="00E90492">
      <w:pPr>
        <w:tabs>
          <w:tab w:val="left" w:pos="360"/>
        </w:tabs>
        <w:spacing w:line="276" w:lineRule="auto"/>
        <w:ind w:left="1418"/>
        <w:jc w:val="both"/>
        <w:rPr>
          <w:rFonts w:ascii="Century Gothic" w:hAnsi="Century Gothic"/>
        </w:rPr>
      </w:pPr>
      <w:r>
        <w:rPr>
          <w:rFonts w:ascii="Century Gothic" w:hAnsi="Century Gothic"/>
        </w:rPr>
        <w:t xml:space="preserve">Determine NRV for each product </w:t>
      </w:r>
    </w:p>
    <w:p w:rsidR="00E90492" w:rsidRPr="00571FA4" w:rsidRDefault="00E90492" w:rsidP="00E90492">
      <w:pPr>
        <w:tabs>
          <w:tab w:val="left" w:pos="360"/>
        </w:tabs>
        <w:spacing w:line="276" w:lineRule="auto"/>
        <w:ind w:left="1418"/>
        <w:jc w:val="both"/>
        <w:rPr>
          <w:rFonts w:ascii="Century Gothic" w:hAnsi="Century Gothic"/>
        </w:rPr>
      </w:pPr>
      <w:r>
        <w:rPr>
          <w:rFonts w:ascii="Century Gothic" w:hAnsi="Century Gothic"/>
        </w:rPr>
        <w:t xml:space="preserve">Compare cost vs NRC </w:t>
      </w:r>
    </w:p>
    <w:p w:rsidR="00E90492" w:rsidRPr="00571FA4" w:rsidRDefault="00E90492" w:rsidP="00E90492">
      <w:pPr>
        <w:numPr>
          <w:ilvl w:val="0"/>
          <w:numId w:val="6"/>
        </w:numPr>
        <w:tabs>
          <w:tab w:val="left" w:pos="360"/>
        </w:tabs>
        <w:spacing w:line="276" w:lineRule="auto"/>
        <w:ind w:left="1418" w:hanging="709"/>
        <w:jc w:val="both"/>
        <w:rPr>
          <w:rFonts w:ascii="Century Gothic" w:hAnsi="Century Gothic"/>
        </w:rPr>
      </w:pPr>
      <w:r w:rsidRPr="00571FA4">
        <w:rPr>
          <w:rFonts w:ascii="Century Gothic" w:hAnsi="Century Gothic"/>
        </w:rPr>
        <w:t xml:space="preserve">Cost of goods sold for the year ended 30 June 2014 </w:t>
      </w:r>
      <w:r w:rsidRPr="00571FA4">
        <w:rPr>
          <w:rFonts w:ascii="Century Gothic" w:hAnsi="Century Gothic"/>
          <w:b/>
        </w:rPr>
        <w:t>and</w:t>
      </w:r>
      <w:r w:rsidRPr="00571FA4">
        <w:rPr>
          <w:rFonts w:ascii="Century Gothic" w:hAnsi="Century Gothic"/>
        </w:rPr>
        <w:t xml:space="preserve"> ending inventory as at 30 June 2014 for the rural scene print, using the weighted-average cost flow assumption.</w:t>
      </w:r>
    </w:p>
    <w:p w:rsidR="00E90492" w:rsidRPr="00571FA4" w:rsidRDefault="00E90492" w:rsidP="00E90492">
      <w:pPr>
        <w:pStyle w:val="BodyText1"/>
        <w:spacing w:line="360" w:lineRule="auto"/>
        <w:rPr>
          <w:rFonts w:ascii="Century Gothic" w:hAnsi="Century Gothic"/>
          <w:sz w:val="22"/>
        </w:rPr>
      </w:pPr>
      <w:bookmarkStart w:id="0" w:name="_GoBack"/>
      <w:bookmarkEnd w:id="0"/>
    </w:p>
    <w:p w:rsidR="00B9228D" w:rsidRPr="00571FA4" w:rsidRDefault="00B9228D" w:rsidP="00B9228D">
      <w:pPr>
        <w:spacing w:line="360" w:lineRule="auto"/>
        <w:rPr>
          <w:rFonts w:ascii="Century Gothic" w:hAnsi="Century Gothic"/>
        </w:rPr>
      </w:pPr>
    </w:p>
    <w:p w:rsidR="0012441C" w:rsidRDefault="0012441C" w:rsidP="00B9228D">
      <w:pPr>
        <w:spacing w:line="360" w:lineRule="auto"/>
      </w:pPr>
    </w:p>
    <w:sectPr w:rsidR="0012441C"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000000000000000"/>
    <w:charset w:val="00"/>
    <w:family w:val="auto"/>
    <w:pitch w:val="variable"/>
    <w:sig w:usb0="00000003" w:usb1="00000000" w:usb2="00000000" w:usb3="00000000" w:csb0="00000007"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44136"/>
    <w:multiLevelType w:val="hybridMultilevel"/>
    <w:tmpl w:val="E6FE1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C3B56CF"/>
    <w:multiLevelType w:val="hybridMultilevel"/>
    <w:tmpl w:val="063C71EC"/>
    <w:lvl w:ilvl="0" w:tplc="44CC9A32">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59F2FE1"/>
    <w:multiLevelType w:val="hybridMultilevel"/>
    <w:tmpl w:val="156C2930"/>
    <w:lvl w:ilvl="0" w:tplc="E54066C6">
      <w:start w:val="1"/>
      <w:numFmt w:val="lowerLetter"/>
      <w:lvlText w:val="(%1)"/>
      <w:lvlJc w:val="left"/>
      <w:pPr>
        <w:tabs>
          <w:tab w:val="num" w:pos="648"/>
        </w:tabs>
        <w:ind w:left="648" w:hanging="648"/>
      </w:pPr>
      <w:rPr>
        <w:rFonts w:hint="default"/>
      </w:rPr>
    </w:lvl>
    <w:lvl w:ilvl="1" w:tplc="2ADED4A2">
      <w:start w:val="1"/>
      <w:numFmt w:val="lowerRoman"/>
      <w:lvlText w:val="(%2)"/>
      <w:lvlJc w:val="left"/>
      <w:pPr>
        <w:tabs>
          <w:tab w:val="num" w:pos="1944"/>
        </w:tabs>
        <w:ind w:left="1944" w:hanging="1296"/>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57457"/>
    <w:multiLevelType w:val="hybridMultilevel"/>
    <w:tmpl w:val="10D2CA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973E95"/>
    <w:multiLevelType w:val="hybridMultilevel"/>
    <w:tmpl w:val="477A6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AC10C83"/>
    <w:multiLevelType w:val="hybridMultilevel"/>
    <w:tmpl w:val="5B7AB05C"/>
    <w:lvl w:ilvl="0" w:tplc="5AFA896A">
      <w:start w:val="1"/>
      <w:numFmt w:val="lowerRoman"/>
      <w:lvlText w:val="(%1)"/>
      <w:lvlJc w:val="left"/>
      <w:pPr>
        <w:tabs>
          <w:tab w:val="num" w:pos="1368"/>
        </w:tabs>
        <w:ind w:left="792"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28D"/>
    <w:rsid w:val="00035FC9"/>
    <w:rsid w:val="0012441C"/>
    <w:rsid w:val="00283DA7"/>
    <w:rsid w:val="007323E4"/>
    <w:rsid w:val="00B9228D"/>
    <w:rsid w:val="00E31485"/>
    <w:rsid w:val="00E90492"/>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A2C8CBF"/>
  <w15:chartTrackingRefBased/>
  <w15:docId w15:val="{35F493D1-81D5-F142-A165-AAFDD0A6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228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rsid w:val="00B9228D"/>
    <w:pPr>
      <w:tabs>
        <w:tab w:val="left" w:pos="397"/>
      </w:tabs>
      <w:spacing w:line="240" w:lineRule="exact"/>
      <w:jc w:val="both"/>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46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0ABCC-CAF9-6649-9BE4-0FCC8CE72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2018-05-02T11:08:00Z</dcterms:created>
  <dcterms:modified xsi:type="dcterms:W3CDTF">2018-05-03T00:06:00Z</dcterms:modified>
</cp:coreProperties>
</file>