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rFonts w:ascii="Raleway" w:cs="Raleway" w:eastAsia="Raleway" w:hAnsi="Raleway"/>
          <w:sz w:val="36"/>
          <w:szCs w:val="36"/>
        </w:rPr>
      </w:pPr>
      <w:r w:rsidDel="00000000" w:rsidR="00000000" w:rsidRPr="00000000">
        <w:rPr>
          <w:rFonts w:ascii="Raleway" w:cs="Raleway" w:eastAsia="Raleway" w:hAnsi="Raleway"/>
          <w:sz w:val="36"/>
          <w:szCs w:val="36"/>
          <w:rtl w:val="0"/>
        </w:rPr>
        <w:t xml:space="preserve">GENDER ROLES - GROUP 2</w:t>
      </w:r>
    </w:p>
    <w:tbl>
      <w:tblPr>
        <w:tblStyle w:val="Table1"/>
        <w:tblW w:w="11565.0" w:type="dxa"/>
        <w:jc w:val="left"/>
        <w:tblInd w:w="-11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65"/>
        <w:gridCol w:w="2115"/>
        <w:gridCol w:w="2325"/>
        <w:gridCol w:w="1995"/>
        <w:gridCol w:w="2205"/>
        <w:gridCol w:w="1860"/>
        <w:tblGridChange w:id="0">
          <w:tblGrid>
            <w:gridCol w:w="1065"/>
            <w:gridCol w:w="2115"/>
            <w:gridCol w:w="2325"/>
            <w:gridCol w:w="1995"/>
            <w:gridCol w:w="2205"/>
            <w:gridCol w:w="1860"/>
          </w:tblGrid>
        </w:tblGridChange>
      </w:tblGrid>
      <w:tr>
        <w:trPr>
          <w:trHeight w:val="61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2">
            <w:pPr>
              <w:rPr>
                <w:rFonts w:ascii="Berkshire Swash" w:cs="Berkshire Swash" w:eastAsia="Berkshire Swash" w:hAnsi="Berkshire Swash"/>
                <w:b w:val="1"/>
                <w:sz w:val="28"/>
                <w:szCs w:val="28"/>
              </w:rPr>
            </w:pPr>
            <w:r w:rsidDel="00000000" w:rsidR="00000000" w:rsidRPr="00000000">
              <w:rPr>
                <w:rFonts w:ascii="Berkshire Swash" w:cs="Berkshire Swash" w:eastAsia="Berkshire Swash" w:hAnsi="Berkshire Swash"/>
                <w:b w:val="1"/>
                <w:sz w:val="28"/>
                <w:szCs w:val="28"/>
                <w:rtl w:val="0"/>
              </w:rPr>
              <w:t xml:space="preserve">Idea</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3">
            <w:pPr>
              <w:rPr>
                <w:rFonts w:ascii="Berkshire Swash" w:cs="Berkshire Swash" w:eastAsia="Berkshire Swash" w:hAnsi="Berkshire Swash"/>
                <w:b w:val="1"/>
                <w:i w:val="1"/>
                <w:sz w:val="28"/>
                <w:szCs w:val="28"/>
              </w:rPr>
            </w:pPr>
            <w:r w:rsidDel="00000000" w:rsidR="00000000" w:rsidRPr="00000000">
              <w:rPr>
                <w:rFonts w:ascii="Berkshire Swash" w:cs="Berkshire Swash" w:eastAsia="Berkshire Swash" w:hAnsi="Berkshire Swash"/>
                <w:b w:val="1"/>
                <w:i w:val="1"/>
                <w:sz w:val="28"/>
                <w:szCs w:val="28"/>
                <w:rtl w:val="0"/>
              </w:rPr>
              <w:t xml:space="preserve">Ransom</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4">
            <w:pPr>
              <w:rPr>
                <w:rFonts w:ascii="Berkshire Swash" w:cs="Berkshire Swash" w:eastAsia="Berkshire Swash" w:hAnsi="Berkshire Swash"/>
                <w:b w:val="1"/>
                <w:i w:val="1"/>
                <w:sz w:val="28"/>
                <w:szCs w:val="28"/>
              </w:rPr>
            </w:pPr>
            <w:r w:rsidDel="00000000" w:rsidR="00000000" w:rsidRPr="00000000">
              <w:rPr>
                <w:rFonts w:ascii="Berkshire Swash" w:cs="Berkshire Swash" w:eastAsia="Berkshire Swash" w:hAnsi="Berkshire Swash"/>
                <w:b w:val="1"/>
                <w:i w:val="1"/>
                <w:sz w:val="28"/>
                <w:szCs w:val="28"/>
                <w:rtl w:val="0"/>
              </w:rPr>
              <w:t xml:space="preserve">The Queen</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5">
            <w:pPr>
              <w:rPr>
                <w:rFonts w:ascii="Berkshire Swash" w:cs="Berkshire Swash" w:eastAsia="Berkshire Swash" w:hAnsi="Berkshire Swash"/>
                <w:b w:val="1"/>
                <w:sz w:val="28"/>
                <w:szCs w:val="28"/>
              </w:rPr>
            </w:pPr>
            <w:r w:rsidDel="00000000" w:rsidR="00000000" w:rsidRPr="00000000">
              <w:rPr>
                <w:rFonts w:ascii="Berkshire Swash" w:cs="Berkshire Swash" w:eastAsia="Berkshire Swash" w:hAnsi="Berkshire Swash"/>
                <w:b w:val="1"/>
                <w:sz w:val="28"/>
                <w:szCs w:val="28"/>
                <w:rtl w:val="0"/>
              </w:rPr>
              <w:t xml:space="preserve">Similarities</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6">
            <w:pPr>
              <w:rPr>
                <w:rFonts w:ascii="Berkshire Swash" w:cs="Berkshire Swash" w:eastAsia="Berkshire Swash" w:hAnsi="Berkshire Swash"/>
                <w:b w:val="1"/>
                <w:sz w:val="28"/>
                <w:szCs w:val="28"/>
              </w:rPr>
            </w:pPr>
            <w:r w:rsidDel="00000000" w:rsidR="00000000" w:rsidRPr="00000000">
              <w:rPr>
                <w:rFonts w:ascii="Berkshire Swash" w:cs="Berkshire Swash" w:eastAsia="Berkshire Swash" w:hAnsi="Berkshire Swash"/>
                <w:b w:val="1"/>
                <w:sz w:val="28"/>
                <w:szCs w:val="28"/>
                <w:rtl w:val="0"/>
              </w:rPr>
              <w:t xml:space="preserve">Differences</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7">
            <w:pPr>
              <w:rPr>
                <w:rFonts w:ascii="Berkshire Swash" w:cs="Berkshire Swash" w:eastAsia="Berkshire Swash" w:hAnsi="Berkshire Swash"/>
                <w:b w:val="1"/>
                <w:sz w:val="28"/>
                <w:szCs w:val="28"/>
              </w:rPr>
            </w:pPr>
            <w:r w:rsidDel="00000000" w:rsidR="00000000" w:rsidRPr="00000000">
              <w:rPr>
                <w:rFonts w:ascii="Berkshire Swash" w:cs="Berkshire Swash" w:eastAsia="Berkshire Swash" w:hAnsi="Berkshire Swash"/>
                <w:b w:val="1"/>
                <w:sz w:val="28"/>
                <w:szCs w:val="28"/>
                <w:rtl w:val="0"/>
              </w:rPr>
              <w:t xml:space="preserve">New Insights</w:t>
            </w:r>
          </w:p>
        </w:tc>
      </w:tr>
      <w:tr>
        <w:trPr>
          <w:trHeight w:val="4410"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8">
            <w:pPr>
              <w:rPr>
                <w:rFonts w:ascii="Nunito" w:cs="Nunito" w:eastAsia="Nunito" w:hAnsi="Nunito"/>
                <w:sz w:val="24"/>
                <w:szCs w:val="24"/>
              </w:rPr>
            </w:pPr>
            <w:r w:rsidDel="00000000" w:rsidR="00000000" w:rsidRPr="00000000">
              <w:rPr>
                <w:rFonts w:ascii="Nunito" w:cs="Nunito" w:eastAsia="Nunito" w:hAnsi="Nunito"/>
                <w:sz w:val="24"/>
                <w:szCs w:val="24"/>
                <w:rtl w:val="0"/>
              </w:rPr>
              <w:t xml:space="preserve">Gender roles</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9">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“The generals had awarded him as a prize of war, a captured slave girl”</w:t>
            </w:r>
          </w:p>
          <w:p w:rsidR="00000000" w:rsidDel="00000000" w:rsidP="00000000" w:rsidRDefault="00000000" w:rsidRPr="00000000" w14:paraId="0000000A">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Pg. 17</w:t>
            </w:r>
          </w:p>
          <w:p w:rsidR="00000000" w:rsidDel="00000000" w:rsidP="00000000" w:rsidRDefault="00000000" w:rsidRPr="00000000" w14:paraId="0000000B">
            <w:pPr>
              <w:rPr>
                <w:rFonts w:ascii="Nunito" w:cs="Nunito" w:eastAsia="Nunito" w:hAnsi="Nunito"/>
                <w:i w:val="1"/>
              </w:rPr>
            </w:pPr>
            <w:r w:rsidDel="00000000" w:rsidR="00000000" w:rsidRPr="00000000">
              <w:rPr>
                <w:rFonts w:ascii="Nunito" w:cs="Nunito" w:eastAsia="Nunito" w:hAnsi="Nunito"/>
                <w:i w:val="1"/>
                <w:sz w:val="20"/>
                <w:szCs w:val="20"/>
                <w:rtl w:val="0"/>
              </w:rPr>
              <w:t xml:space="preserve">This is a simple quote clearly showing the discrepancies between women  who were inferior to men in ancient times.</w:t>
            </w:r>
            <w:r w:rsidDel="00000000" w:rsidR="00000000" w:rsidRPr="00000000">
              <w:rPr>
                <w:rFonts w:ascii="Nunito" w:cs="Nunito" w:eastAsia="Nunito" w:hAnsi="Nunito"/>
                <w:i w:val="1"/>
                <w:rtl w:val="0"/>
              </w:rPr>
              <w:t xml:space="preserve">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C">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“My dear, you are the</w:t>
            </w:r>
          </w:p>
          <w:p w:rsidR="00000000" w:rsidDel="00000000" w:rsidP="00000000" w:rsidRDefault="00000000" w:rsidRPr="00000000" w14:paraId="0000000D">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greatest asset this institution has. One of the greatest it has EVER had.” - the Queen mother on the Queen, suggesting royalty is valued above gender roles? </w:t>
            </w:r>
          </w:p>
          <w:p w:rsidR="00000000" w:rsidDel="00000000" w:rsidP="00000000" w:rsidRDefault="00000000" w:rsidRPr="00000000" w14:paraId="0000000E">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Queen mother may be suggesting that despite her daughter being a female sovereign, her gender has had no part in her being one of the greatest assets of the institution.</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0F">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women in both texts are seen as valuable (although they may be valuable in different ways). </w:t>
            </w:r>
          </w:p>
          <w:p w:rsidR="00000000" w:rsidDel="00000000" w:rsidP="00000000" w:rsidRDefault="00000000" w:rsidRPr="00000000" w14:paraId="00000010">
            <w:pPr>
              <w:rPr>
                <w:rFonts w:ascii="Nunito" w:cs="Nunito" w:eastAsia="Nunito" w:hAnsi="Nunito"/>
                <w:sz w:val="20"/>
                <w:szCs w:val="20"/>
              </w:rPr>
            </w:pPr>
            <w:r w:rsidDel="00000000" w:rsidR="00000000" w:rsidRPr="00000000">
              <w:rPr>
                <w:rtl w:val="0"/>
              </w:rPr>
            </w:r>
          </w:p>
          <w:p w:rsidR="00000000" w:rsidDel="00000000" w:rsidP="00000000" w:rsidRDefault="00000000" w:rsidRPr="00000000" w14:paraId="00000011">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2">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Hecuba is still being treated less like a leader compared to both Achilles and Priam, which is clearly different to the Queen who is a well regarded leader since her coronation.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3">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Gender Dynamics has a big role in the treatment of leaders.</w:t>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4">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5">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“He had entered the rough world of men”</w:t>
            </w:r>
          </w:p>
          <w:p w:rsidR="00000000" w:rsidDel="00000000" w:rsidP="00000000" w:rsidRDefault="00000000" w:rsidRPr="00000000" w14:paraId="00000016">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Pg. 6</w:t>
            </w:r>
          </w:p>
          <w:p w:rsidR="00000000" w:rsidDel="00000000" w:rsidP="00000000" w:rsidRDefault="00000000" w:rsidRPr="00000000" w14:paraId="00000017">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This is contextual</w:t>
            </w:r>
            <w:r w:rsidDel="00000000" w:rsidR="00000000" w:rsidRPr="00000000">
              <w:rPr>
                <w:rFonts w:ascii="Nunito" w:cs="Nunito" w:eastAsia="Nunito" w:hAnsi="Nunito"/>
                <w:i w:val="1"/>
                <w:sz w:val="20"/>
                <w:szCs w:val="20"/>
                <w:rtl w:val="0"/>
              </w:rPr>
              <w:t xml:space="preserve"> to Achilles’ description was actually referring to ‘men’ as ‘mankind’ or ‘mortalkind’. This is Malouf’s attempt at keeping the story in and of its time where women weren’t even considered human, they were rather objects sold or used for the benefit of the man.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8">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“And I was sure he’d give the other one</w:t>
            </w:r>
          </w:p>
          <w:p w:rsidR="00000000" w:rsidDel="00000000" w:rsidP="00000000" w:rsidRDefault="00000000" w:rsidRPr="00000000" w14:paraId="00000019">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up. Or, at least make sure his wife </w:t>
            </w:r>
            <w:r w:rsidDel="00000000" w:rsidR="00000000" w:rsidRPr="00000000">
              <w:rPr>
                <w:rFonts w:ascii="Nunito" w:cs="Nunito" w:eastAsia="Nunito" w:hAnsi="Nunito"/>
                <w:b w:val="1"/>
                <w:sz w:val="20"/>
                <w:szCs w:val="20"/>
                <w:rtl w:val="0"/>
              </w:rPr>
              <w:t xml:space="preserve">towed </w:t>
            </w:r>
            <w:r w:rsidDel="00000000" w:rsidR="00000000" w:rsidRPr="00000000">
              <w:rPr>
                <w:rFonts w:ascii="Nunito" w:cs="Nunito" w:eastAsia="Nunito" w:hAnsi="Nunito"/>
                <w:sz w:val="20"/>
                <w:szCs w:val="20"/>
                <w:rtl w:val="0"/>
              </w:rPr>
              <w:t xml:space="preserve">the line.” Prince Philip showing the normality of the infidelity of Prince Charles, seen as acceptable and almost expected,  in comparison to Diana’s affairs and their treatment/judgement of her. Saying that Diana was expected to accept his affairs as part of her “role”.</w:t>
            </w:r>
          </w:p>
          <w:p w:rsidR="00000000" w:rsidDel="00000000" w:rsidP="00000000" w:rsidRDefault="00000000" w:rsidRPr="00000000" w14:paraId="0000001A">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B">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Men are commonly associated with brutality and gruffness that often compels them to being avoidant of showing vulnerability and affection which is common between Achilles and Prince Phillip, as well as Elizabeth herself - although there are characters who do show vulnerability in private, Prince Charles and Priam.</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C">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physical relationship between fathers and sons is shown differently, with Priam not even knowing how many sons he has and having barely any memories of his sons’ childhoods, compared to Charles' affection and protection for his two sons. Gender roles are evidently different, with the setting of Ancient Greece perhaps emphasising the expectation of men to be unaffectionate.</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D">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expectations of men, throughout history are reflections of what society deems as crude or ‘valued’ - whether it be infidelity or violence for the sake of reputation.</w:t>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E">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1F">
            <w:pPr>
              <w:rPr>
                <w:rFonts w:ascii="Nunito" w:cs="Nunito" w:eastAsia="Nunito" w:hAnsi="Nunito"/>
                <w:i w:val="1"/>
                <w:sz w:val="24"/>
                <w:szCs w:val="24"/>
              </w:rPr>
            </w:pPr>
            <w:r w:rsidDel="00000000" w:rsidR="00000000" w:rsidRPr="00000000">
              <w:rPr>
                <w:rFonts w:ascii="Nunito" w:cs="Nunito" w:eastAsia="Nunito" w:hAnsi="Nunito"/>
                <w:i w:val="1"/>
                <w:sz w:val="20"/>
                <w:szCs w:val="20"/>
                <w:rtl w:val="0"/>
              </w:rPr>
              <w:t xml:space="preserve">“women are shown to bring out a more human side of the male leaders as iris the goddess advises priam to bring a ransom and appear to Achilles as a man rather than a leader in order to bring back Hector’s body. This is also seen when Hecuba and Priam become “Two old people consulting together, seeking comfort in one another’s presence” - women draw out a more emotional side of the men.</w:t>
            </w: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0">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Charles’ expression of grief at the news of Diana’s death. His repeated exclamation of ‘No!’ demonstrates feeling and anger.</w:t>
            </w:r>
          </w:p>
          <w:p w:rsidR="00000000" w:rsidDel="00000000" w:rsidP="00000000" w:rsidRDefault="00000000" w:rsidRPr="00000000" w14:paraId="00000021">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His expression of grief suggests the expectation of men to withhold true emotion, as Charles is not shown crying, but rather exclaiming his emotions in a masculine way.</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2">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females in the family are often the people that provides support to the leaders on an emotional level.</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3">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4">
            <w:pPr>
              <w:rPr>
                <w:rFonts w:ascii="Nunito" w:cs="Nunito" w:eastAsia="Nunito" w:hAnsi="Nunito"/>
                <w:sz w:val="20"/>
                <w:szCs w:val="20"/>
              </w:rPr>
            </w:pPr>
            <w:r w:rsidDel="00000000" w:rsidR="00000000" w:rsidRPr="00000000">
              <w:rPr>
                <w:rtl w:val="0"/>
              </w:rPr>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5">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6">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“‘Hecuba my dear,’ he whispers, and she allows herself, almost girlishly, to be held and comforted...she weeps.When her tears come to an end and she has once again taken control of herself, he begins.” </w:t>
            </w:r>
          </w:p>
          <w:p w:rsidR="00000000" w:rsidDel="00000000" w:rsidP="00000000" w:rsidRDefault="00000000" w:rsidRPr="00000000" w14:paraId="00000027">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Pg. 30</w:t>
            </w:r>
          </w:p>
          <w:p w:rsidR="00000000" w:rsidDel="00000000" w:rsidP="00000000" w:rsidRDefault="00000000" w:rsidRPr="00000000" w14:paraId="00000028">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This is an important insight into how women of high status were treated, which isn’t as badly as slave women, but still considered either childish or ‘soft’ which was considered associative of weakness. Malouf, although highlighting the inferiority of women at the time throughout the novel, Hecuba has a similar presence as Lady Macbeth does in the Shakespearean play. When she ‘lets herself be held girlishly’ Hecuba is allowing Priam to feel like he is taking the death of his son well, by being visibly distraught, weeping and frail. Malouf phrasing these actions as voluntary imply her strength and ability to make people think the way she wants them to think.</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9">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“So it’s VITAL you hold firm. Stick to your guns.” Prince Philip  suggesting to Elizabeth that showing emotion or being vulnerable is not the solution. Always trying to have an input being overshadowed by his wife. </w:t>
            </w:r>
          </w:p>
          <w:p w:rsidR="00000000" w:rsidDel="00000000" w:rsidP="00000000" w:rsidRDefault="00000000" w:rsidRPr="00000000" w14:paraId="0000002A">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2B">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In these particular quotes, both women are so influential that their actions and behaviour and mannerisms make a mark. </w:t>
            </w:r>
          </w:p>
          <w:p w:rsidR="00000000" w:rsidDel="00000000" w:rsidP="00000000" w:rsidRDefault="00000000" w:rsidRPr="00000000" w14:paraId="0000002C">
            <w:pPr>
              <w:rPr>
                <w:rFonts w:ascii="Nunito" w:cs="Nunito" w:eastAsia="Nunito" w:hAnsi="Nunito"/>
                <w:sz w:val="20"/>
                <w:szCs w:val="20"/>
              </w:rPr>
            </w:pPr>
            <w:r w:rsidDel="00000000" w:rsidR="00000000" w:rsidRPr="00000000">
              <w:rPr>
                <w:rtl w:val="0"/>
              </w:rPr>
            </w:r>
          </w:p>
          <w:p w:rsidR="00000000" w:rsidDel="00000000" w:rsidP="00000000" w:rsidRDefault="00000000" w:rsidRPr="00000000" w14:paraId="0000002D">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Historically speaking this has always been a duty and role of the female royal, to influence in favour of her husband’s interests. </w:t>
            </w:r>
          </w:p>
          <w:p w:rsidR="00000000" w:rsidDel="00000000" w:rsidP="00000000" w:rsidRDefault="00000000" w:rsidRPr="00000000" w14:paraId="0000002E">
            <w:pPr>
              <w:rPr>
                <w:rFonts w:ascii="Nunito" w:cs="Nunito" w:eastAsia="Nunito" w:hAnsi="Nunito"/>
                <w:sz w:val="20"/>
                <w:szCs w:val="20"/>
              </w:rPr>
            </w:pPr>
            <w:r w:rsidDel="00000000" w:rsidR="00000000" w:rsidRPr="00000000">
              <w:rPr>
                <w:rtl w:val="0"/>
              </w:rPr>
            </w:r>
          </w:p>
          <w:p w:rsidR="00000000" w:rsidDel="00000000" w:rsidP="00000000" w:rsidRDefault="00000000" w:rsidRPr="00000000" w14:paraId="0000002F">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‘monarchs’ in both texts show their vulnerability only to themselves or close members behind closed doors.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0">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Hecuba, rather than using her ability to be emotive on view for the people like The Queen does eventually to her people, uses her ability on Priam, in private.</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1">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Power dynamics between the opposite  genders of leaders can be more than just dominant and compliant.</w:t>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2">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3">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“Cassandra, enraptured and pure, has none of his pious trepidation” pg.42</w:t>
            </w:r>
          </w:p>
          <w:p w:rsidR="00000000" w:rsidDel="00000000" w:rsidP="00000000" w:rsidRDefault="00000000" w:rsidRPr="00000000" w14:paraId="00000034">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Like Charles to the right, Cassandra is openly vulnerable (which may have to do with her being a woman) but is what makes Priam trust in her honesty.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5">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Charles consoles his sons after telling them of Diana’s death, kissing and hugging them.</w:t>
            </w:r>
          </w:p>
          <w:p w:rsidR="00000000" w:rsidDel="00000000" w:rsidP="00000000" w:rsidRDefault="00000000" w:rsidRPr="00000000" w14:paraId="00000036">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This affectionate display of love towards his children demonstrates the dismissal of typical gender roles, and contrasts the distant relationship between Charles and his own mother.</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7">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Both Charles and Cassandra are openly affectionate toward their family, despite their genders being different.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8">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They lost someone who would have been loved differently, Cassandra lost a brother while Charles lost a wife and a mother to his children.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9">
            <w:pPr>
              <w:rPr>
                <w:rFonts w:ascii="Nunito" w:cs="Nunito" w:eastAsia="Nunito" w:hAnsi="Nunito"/>
                <w:sz w:val="20"/>
                <w:szCs w:val="20"/>
              </w:rPr>
            </w:pPr>
            <w:r w:rsidDel="00000000" w:rsidR="00000000" w:rsidRPr="00000000">
              <w:rPr>
                <w:rtl w:val="0"/>
              </w:rPr>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A">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B">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When Hecuba suspects that Priam’s “wits are unstrung”, she immediately thinks that she “needs the help of her sons”. Despite being so intimate with Priam, she immediately concluded that the only way to dissuade Priam from meeting Achilles would be through her sons rather than herself. This epitomises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C">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Queen consoles her mother when she is unsure of what to do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D">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Both leaders talk to females about what to do when they’re in a tough situation</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3E">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Priam talks to his marital partner, but the queen seeks advice from her mother.</w:t>
            </w:r>
          </w:p>
          <w:p w:rsidR="00000000" w:rsidDel="00000000" w:rsidP="00000000" w:rsidRDefault="00000000" w:rsidRPr="00000000" w14:paraId="0000003F">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0">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Perhaps there is a layer of intimacy and honesty that individuals feel with females that allow them to open up.</w:t>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1">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2">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“The women move close to the earth, their hands turning the clods, breaking them up with practiced fingers” pg. 206</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3">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“You forget I worked as a mechanic in the war.”</w:t>
            </w:r>
          </w:p>
          <w:p w:rsidR="00000000" w:rsidDel="00000000" w:rsidP="00000000" w:rsidRDefault="00000000" w:rsidRPr="00000000" w14:paraId="00000044">
            <w:pPr>
              <w:rPr>
                <w:rFonts w:ascii="Nunito" w:cs="Nunito" w:eastAsia="Nunito" w:hAnsi="Nunito"/>
                <w:i w:val="1"/>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5">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6">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7">
            <w:pPr>
              <w:rPr>
                <w:rFonts w:ascii="Nunito" w:cs="Nunito" w:eastAsia="Nunito" w:hAnsi="Nunito"/>
                <w:sz w:val="20"/>
                <w:szCs w:val="20"/>
              </w:rPr>
            </w:pPr>
            <w:r w:rsidDel="00000000" w:rsidR="00000000" w:rsidRPr="00000000">
              <w:rPr>
                <w:rtl w:val="0"/>
              </w:rPr>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8">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9">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“This kind of women’s talk unnerves him.” page 52 (part II)</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A">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B">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C">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D">
            <w:pPr>
              <w:rPr>
                <w:rFonts w:ascii="Nunito" w:cs="Nunito" w:eastAsia="Nunito" w:hAnsi="Nunito"/>
                <w:sz w:val="20"/>
                <w:szCs w:val="20"/>
              </w:rPr>
            </w:pPr>
            <w:r w:rsidDel="00000000" w:rsidR="00000000" w:rsidRPr="00000000">
              <w:rPr>
                <w:rtl w:val="0"/>
              </w:rPr>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E">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4F">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When Somax was talking about his chidlrens’ death Priam related on an emotional reality while they were riding toward Achilles.</w:t>
            </w:r>
          </w:p>
          <w:p w:rsidR="00000000" w:rsidDel="00000000" w:rsidP="00000000" w:rsidRDefault="00000000" w:rsidRPr="00000000" w14:paraId="00000050">
            <w:pPr>
              <w:rPr>
                <w:rFonts w:ascii="Nunito" w:cs="Nunito" w:eastAsia="Nunito" w:hAnsi="Nunito"/>
                <w:i w:val="1"/>
                <w:sz w:val="20"/>
                <w:szCs w:val="20"/>
              </w:rPr>
            </w:pPr>
            <w:r w:rsidDel="00000000" w:rsidR="00000000" w:rsidRPr="00000000">
              <w:rPr>
                <w:rFonts w:ascii="Nunito" w:cs="Nunito" w:eastAsia="Nunito" w:hAnsi="Nunito"/>
                <w:i w:val="1"/>
                <w:sz w:val="20"/>
                <w:szCs w:val="20"/>
                <w:rtl w:val="0"/>
              </w:rPr>
              <w:t xml:space="preserve">Somax’s youngest son dying by suffocation under mud, is a level of gruesome Priam also related with.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1">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The brutality of the media’s influence on Diana’s death, make it more tragic, hence </w:t>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2">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3">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4">
            <w:pPr>
              <w:rPr>
                <w:rFonts w:ascii="Nunito" w:cs="Nunito" w:eastAsia="Nunito" w:hAnsi="Nunito"/>
                <w:sz w:val="20"/>
                <w:szCs w:val="20"/>
              </w:rPr>
            </w:pPr>
            <w:r w:rsidDel="00000000" w:rsidR="00000000" w:rsidRPr="00000000">
              <w:rPr>
                <w:rtl w:val="0"/>
              </w:rPr>
            </w:r>
          </w:p>
        </w:tc>
      </w:tr>
      <w:tr>
        <w:trPr>
          <w:trHeight w:val="1395" w:hRule="atLeast"/>
        </w:trPr>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5">
            <w:pPr>
              <w:rPr>
                <w:rFonts w:ascii="Nunito" w:cs="Nunito" w:eastAsia="Nunito" w:hAnsi="Nunito"/>
                <w:sz w:val="24"/>
                <w:szCs w:val="24"/>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6">
            <w:pPr>
              <w:rPr>
                <w:rFonts w:ascii="Nunito" w:cs="Nunito" w:eastAsia="Nunito" w:hAnsi="Nunito"/>
                <w:i w:val="1"/>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7">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8">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9">
            <w:pPr>
              <w:rPr>
                <w:rFonts w:ascii="Nunito" w:cs="Nunito" w:eastAsia="Nunito" w:hAnsi="Nunito"/>
                <w:sz w:val="20"/>
                <w:szCs w:val="20"/>
              </w:rPr>
            </w:pPr>
            <w:r w:rsidDel="00000000" w:rsidR="00000000" w:rsidRPr="00000000">
              <w:rPr>
                <w:rtl w:val="0"/>
              </w:rPr>
            </w:r>
          </w:p>
        </w:tc>
        <w:tc>
          <w:tcPr>
            <w:tcBorders>
              <w:top w:color="9e9e9e" w:space="0" w:sz="7" w:val="single"/>
              <w:left w:color="9e9e9e" w:space="0" w:sz="7" w:val="single"/>
              <w:bottom w:color="9e9e9e" w:space="0" w:sz="7" w:val="single"/>
              <w:right w:color="9e9e9e" w:space="0" w:sz="7" w:val="single"/>
            </w:tcBorders>
            <w:tcMar>
              <w:top w:w="140.0" w:type="dxa"/>
              <w:left w:w="140.0" w:type="dxa"/>
              <w:bottom w:w="140.0" w:type="dxa"/>
              <w:right w:w="140.0" w:type="dxa"/>
            </w:tcMar>
            <w:vAlign w:val="top"/>
          </w:tcPr>
          <w:p w:rsidR="00000000" w:rsidDel="00000000" w:rsidP="00000000" w:rsidRDefault="00000000" w:rsidRPr="00000000" w14:paraId="0000005A">
            <w:pPr>
              <w:rPr>
                <w:rFonts w:ascii="Nunito" w:cs="Nunito" w:eastAsia="Nunito" w:hAnsi="Nunito"/>
                <w:sz w:val="20"/>
                <w:szCs w:val="20"/>
              </w:rPr>
            </w:pPr>
            <w:r w:rsidDel="00000000" w:rsidR="00000000" w:rsidRPr="00000000">
              <w:rPr>
                <w:rFonts w:ascii="Nunito" w:cs="Nunito" w:eastAsia="Nunito" w:hAnsi="Nunito"/>
                <w:sz w:val="20"/>
                <w:szCs w:val="20"/>
                <w:rtl w:val="0"/>
              </w:rPr>
              <w:t xml:space="preserve">While Ransom shows the females being more intimate with their family members, The Queen displays how a female monarch can be just as disconnected from her offspring. -&gt; being a figurehead can </w:t>
            </w:r>
          </w:p>
        </w:tc>
      </w:tr>
    </w:tbl>
    <w:p w:rsidR="00000000" w:rsidDel="00000000" w:rsidP="00000000" w:rsidRDefault="00000000" w:rsidRPr="00000000" w14:paraId="0000005B">
      <w:pPr>
        <w:ind w:right="0"/>
        <w:rPr/>
      </w:pPr>
      <w:r w:rsidDel="00000000" w:rsidR="00000000" w:rsidRPr="00000000">
        <w:rPr>
          <w:rtl w:val="0"/>
        </w:rPr>
      </w:r>
    </w:p>
    <w:sectPr>
      <w:pgSz w:h="16834" w:w="11909"/>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Raleway">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Berkshire Swash">
    <w:embedRegular w:fontKey="{00000000-0000-0000-0000-000000000000}" r:id="rId5" w:subsetted="0"/>
  </w:font>
  <w:font w:name="Nunito">
    <w:embedRegular w:fontKey="{00000000-0000-0000-0000-000000000000}" r:id="rId6" w:subsetted="0"/>
    <w:embedBold w:fontKey="{00000000-0000-0000-0000-000000000000}" r:id="rId7" w:subsetted="0"/>
    <w:embedItalic w:fontKey="{00000000-0000-0000-0000-000000000000}" r:id="rId8" w:subsetted="0"/>
    <w:embedBoldItalic w:fontKey="{00000000-0000-0000-0000-000000000000}" r:id="rId9"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_GB"/>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Raleway-regular.ttf"/><Relationship Id="rId2" Type="http://schemas.openxmlformats.org/officeDocument/2006/relationships/font" Target="fonts/Raleway-bold.ttf"/><Relationship Id="rId3" Type="http://schemas.openxmlformats.org/officeDocument/2006/relationships/font" Target="fonts/Raleway-italic.ttf"/><Relationship Id="rId4" Type="http://schemas.openxmlformats.org/officeDocument/2006/relationships/font" Target="fonts/Raleway-boldItalic.ttf"/><Relationship Id="rId9" Type="http://schemas.openxmlformats.org/officeDocument/2006/relationships/font" Target="fonts/Nunito-boldItalic.ttf"/><Relationship Id="rId5" Type="http://schemas.openxmlformats.org/officeDocument/2006/relationships/font" Target="fonts/BerkshireSwash-regular.ttf"/><Relationship Id="rId6" Type="http://schemas.openxmlformats.org/officeDocument/2006/relationships/font" Target="fonts/Nunito-regular.ttf"/><Relationship Id="rId7" Type="http://schemas.openxmlformats.org/officeDocument/2006/relationships/font" Target="fonts/Nunito-bold.ttf"/><Relationship Id="rId8" Type="http://schemas.openxmlformats.org/officeDocument/2006/relationships/font" Target="fonts/Nunito-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