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392682" cy="585470"/>
            <wp:effectExtent b="0" l="0" r="0" t="0"/>
            <wp:docPr id="3"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1392682" cy="585470"/>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945513" cy="623570"/>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945513" cy="623570"/>
                    </a:xfrm>
                    <a:prstGeom prst="rect"/>
                    <a:ln/>
                  </pic:spPr>
                </pic:pic>
              </a:graphicData>
            </a:graphic>
          </wp:inline>
        </w:drawing>
      </w: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908048" cy="525145"/>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908048" cy="5251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60498046875" w:line="229.98342990875244" w:lineRule="auto"/>
        <w:ind w:left="13.886260986328125" w:right="1410.4669189453125" w:firstLine="5.107269287109375"/>
        <w:jc w:val="left"/>
        <w:rPr>
          <w:rFonts w:ascii="Arial Narrow" w:cs="Arial Narrow" w:eastAsia="Arial Narrow" w:hAnsi="Arial Narrow"/>
          <w:b w:val="1"/>
          <w:i w:val="0"/>
          <w:smallCaps w:val="0"/>
          <w:strike w:val="0"/>
          <w:color w:val="000000"/>
          <w:sz w:val="31.920000076293945"/>
          <w:szCs w:val="31.920000076293945"/>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31.920000076293945"/>
          <w:szCs w:val="31.920000076293945"/>
          <w:u w:val="none"/>
          <w:shd w:fill="auto" w:val="clear"/>
          <w:vertAlign w:val="baseline"/>
          <w:rtl w:val="0"/>
        </w:rPr>
        <w:t xml:space="preserve">MONASH HEALTHCARE INNOVATION SUMMER SCHOLARSHIPS  (HISS)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416015625" w:line="240" w:lineRule="auto"/>
        <w:ind w:left="18.170318603515625" w:right="0" w:firstLine="0"/>
        <w:jc w:val="left"/>
        <w:rPr>
          <w:rFonts w:ascii="Arial Narrow" w:cs="Arial Narrow" w:eastAsia="Arial Narrow" w:hAnsi="Arial Narrow"/>
          <w:b w:val="0"/>
          <w:i w:val="0"/>
          <w:smallCaps w:val="0"/>
          <w:strike w:val="0"/>
          <w:color w:val="006baa"/>
          <w:sz w:val="28.079999923706055"/>
          <w:szCs w:val="28.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6baa"/>
          <w:sz w:val="28.079999923706055"/>
          <w:szCs w:val="28.079999923706055"/>
          <w:u w:val="none"/>
          <w:shd w:fill="auto" w:val="clear"/>
          <w:vertAlign w:val="baseline"/>
          <w:rtl w:val="0"/>
        </w:rPr>
        <w:t xml:space="preserve">PROJECT NAME: Project Aesop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306396484375" w:line="240" w:lineRule="auto"/>
        <w:ind w:left="17.889556884765625" w:right="0" w:firstLine="0"/>
        <w:jc w:val="left"/>
        <w:rPr>
          <w:rFonts w:ascii="Arial Narrow" w:cs="Arial Narrow" w:eastAsia="Arial Narrow" w:hAnsi="Arial Narrow"/>
          <w:b w:val="0"/>
          <w:i w:val="0"/>
          <w:smallCaps w:val="0"/>
          <w:strike w:val="0"/>
          <w:color w:val="006baa"/>
          <w:sz w:val="28.079999923706055"/>
          <w:szCs w:val="28.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6baa"/>
          <w:sz w:val="28.079999923706055"/>
          <w:szCs w:val="28.079999923706055"/>
          <w:u w:val="none"/>
          <w:shd w:fill="auto" w:val="clear"/>
          <w:vertAlign w:val="baseline"/>
          <w:rtl w:val="0"/>
        </w:rPr>
        <w:t xml:space="preserve">DELIVERABLES NUMBER: 2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70703125" w:line="240" w:lineRule="auto"/>
        <w:ind w:left="18.170318603515625" w:right="0" w:firstLine="0"/>
        <w:jc w:val="left"/>
        <w:rPr>
          <w:rFonts w:ascii="Arial Narrow" w:cs="Arial Narrow" w:eastAsia="Arial Narrow" w:hAnsi="Arial Narrow"/>
          <w:b w:val="0"/>
          <w:i w:val="0"/>
          <w:smallCaps w:val="0"/>
          <w:strike w:val="0"/>
          <w:color w:val="006baa"/>
          <w:sz w:val="28.079999923706055"/>
          <w:szCs w:val="28.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6baa"/>
          <w:sz w:val="28.079999923706055"/>
          <w:szCs w:val="28.079999923706055"/>
          <w:u w:val="none"/>
          <w:shd w:fill="auto" w:val="clear"/>
          <w:vertAlign w:val="baseline"/>
          <w:rtl w:val="0"/>
        </w:rPr>
        <w:t xml:space="preserve">PROJECT LEAD: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10693359375" w:line="228.62226963043213" w:lineRule="auto"/>
        <w:ind w:left="0.640716552734375" w:right="584.93408203125" w:firstLine="14.479217529296875"/>
        <w:jc w:val="both"/>
        <w:rPr>
          <w:rFonts w:ascii="Arial Narrow" w:cs="Arial Narrow" w:eastAsia="Arial Narrow" w:hAnsi="Arial Narrow"/>
          <w:b w:val="0"/>
          <w:i w:val="0"/>
          <w:smallCaps w:val="0"/>
          <w:strike w:val="0"/>
          <w:color w:val="000000"/>
          <w:sz w:val="16.079999923706055"/>
          <w:szCs w:val="16.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Note: </w:t>
      </w:r>
      <w:r w:rsidDel="00000000" w:rsidR="00000000" w:rsidRPr="00000000">
        <w:rPr>
          <w:rFonts w:ascii="Arial Narrow" w:cs="Arial Narrow" w:eastAsia="Arial Narrow" w:hAnsi="Arial Narrow"/>
          <w:b w:val="0"/>
          <w:i w:val="0"/>
          <w:smallCaps w:val="0"/>
          <w:strike w:val="0"/>
          <w:color w:val="000000"/>
          <w:sz w:val="16.079999923706055"/>
          <w:szCs w:val="16.079999923706055"/>
          <w:u w:val="none"/>
          <w:shd w:fill="auto" w:val="clear"/>
          <w:vertAlign w:val="baseline"/>
          <w:rtl w:val="0"/>
        </w:rPr>
        <w:t xml:space="preserve">A significantly heterogenous population of children with special needs may find social stories useful. These include children with ASD, among which  the degree of social deficit may vary, and intellectual impairment may be absent or present also to varying degrees. Each child with ASD, ID or other conditions  which may cause psychosocial and behavioural difficulties, and developmental delay is slightly different. However what is important is that these aspects of  symptomatology (social, intellectual/ cognitive or other developmental deficits and delays which result in difficulties with communication, difficulties with  understanding others and the world around them, difficulties in self-management of emotions and behaviour) can affect a child’s ability to understand and navigate the often overwhelming medical environment and complex medical scenarios; to cope with aspects such as disruption to their daily routines,  unpredictable waiting times and an unfamiliar and rapidly changing environment, potential sensory overload from many new sensory exposures (sights,  sounds, smells, textures), pain and discomfort from medical interventions, the many unfamiliar people and individuals (doctors, nurses, other health  professionals who may be involved in a child’s care), difficult to interpret or ambiguous behaviour and situations (especially from the point of view of a child  who may lack some ability to form a theory of mind; to understand the motivations and intentions of others), complex task demands and other aspects of  hospital environments and healthcare encounters which may cause significant distress even for a child without these difficulties. The interaction between  these difficulties with the environment and high levels of anxiety and distress may predispose these children to display maladaptive, or disruptive, self injurious and aggressive behaviours.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798583984375" w:line="240" w:lineRule="auto"/>
        <w:ind w:left="14.83184814453125" w:right="0" w:firstLine="0"/>
        <w:jc w:val="left"/>
        <w:rPr>
          <w:rFonts w:ascii="Arial Narrow" w:cs="Arial Narrow" w:eastAsia="Arial Narrow" w:hAnsi="Arial Narrow"/>
          <w:b w:val="1"/>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079999923706055"/>
          <w:szCs w:val="22.079999923706055"/>
          <w:u w:val="none"/>
          <w:shd w:fill="auto" w:val="clear"/>
          <w:vertAlign w:val="baseline"/>
          <w:rtl w:val="0"/>
        </w:rPr>
        <w:t xml:space="preserve">1.4.A Disease State Fundamentals</w:t>
      </w:r>
    </w:p>
    <w:tbl>
      <w:tblPr>
        <w:tblStyle w:val="Table1"/>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5.3199768066406"/>
        <w:gridCol w:w="6586.999206542969"/>
        <w:tblGridChange w:id="0">
          <w:tblGrid>
            <w:gridCol w:w="2765.3199768066406"/>
            <w:gridCol w:w="6586.999206542969"/>
          </w:tblGrid>
        </w:tblGridChange>
      </w:tblGrid>
      <w:tr>
        <w:trPr>
          <w:cantSplit w:val="0"/>
          <w:trHeight w:val="26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91845703125" w:right="0" w:firstLine="0"/>
              <w:jc w:val="left"/>
              <w:rPr>
                <w:rFonts w:ascii="Arial Narrow" w:cs="Arial Narrow" w:eastAsia="Arial Narrow" w:hAnsi="Arial Narrow"/>
                <w:b w:val="1"/>
                <w:i w:val="1"/>
                <w:smallCaps w:val="0"/>
                <w:strike w:val="0"/>
                <w:color w:val="000000"/>
                <w:sz w:val="22.079999923706055"/>
                <w:szCs w:val="22.079999923706055"/>
                <w:u w:val="none"/>
                <w:shd w:fill="fbe4d5"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fbe4d5" w:val="clear"/>
                <w:vertAlign w:val="baseline"/>
                <w:rtl w:val="0"/>
              </w:rPr>
              <w:t xml:space="preserve">General Summary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fbe4d5" w:val="clear"/>
                <w:vertAlign w:val="baseline"/>
              </w:rPr>
            </w:pPr>
            <w:r w:rsidDel="00000000" w:rsidR="00000000" w:rsidRPr="00000000">
              <w:rPr>
                <w:rtl w:val="0"/>
              </w:rPr>
            </w:r>
          </w:p>
        </w:tc>
      </w:tr>
      <w:tr>
        <w:trPr>
          <w:cantSplit w:val="0"/>
          <w:trHeight w:val="1807.8015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191608428955" w:lineRule="auto"/>
              <w:ind w:left="128.03512573242188" w:right="556.2448120117188" w:hanging="18.547210693359375"/>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Autism spectrum disorder  (ASD)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300327301025" w:lineRule="auto"/>
              <w:ind w:left="833.0209350585938" w:right="416.9287109375" w:hanging="348.73931884765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is a persistent developmental disorder characterised by symptoms  which manifest beginning from early childhood.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104736328125" w:line="229.25597190856934" w:lineRule="auto"/>
              <w:ind w:left="838.3200073242188" w:right="177.010498046875" w:hanging="354.038391113281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may occur in isolation, or as a component of other syndromes and  genetic disorders such as Fragile X syndrome, Prader Willi syndrome, Cornelia de Lange syndrome, Tuberous Sclerosis and Rett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0791015625" w:line="240" w:lineRule="auto"/>
              <w:ind w:left="840.969543457031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Syndrome.(1)</w:t>
            </w:r>
          </w:p>
        </w:tc>
      </w:tr>
      <w:tr>
        <w:trPr>
          <w:cantSplit w:val="0"/>
          <w:trHeight w:val="1051.199645996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24596786499" w:lineRule="auto"/>
              <w:ind w:left="122.29446411132812" w:right="515.4092407226562" w:firstLine="0.8831787109375"/>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Intellectual developmental  disorder (ID)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4.2816162109375"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tends to develop before adulthood.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28.16895484924316" w:lineRule="auto"/>
              <w:ind w:left="836.3327026367188" w:right="107.8466796875" w:hanging="352.051086425781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affects a person’s ability to learn, communicate, retain information and  their psychosocial functioning in a myriad of ways.</w:t>
            </w:r>
          </w:p>
        </w:tc>
      </w:tr>
      <w:tr>
        <w:trPr>
          <w:cantSplit w:val="0"/>
          <w:trHeight w:val="261.5985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0715942382812" w:right="0" w:firstLine="0"/>
              <w:jc w:val="left"/>
              <w:rPr>
                <w:rFonts w:ascii="Arial Narrow" w:cs="Arial Narrow" w:eastAsia="Arial Narrow" w:hAnsi="Arial Narrow"/>
                <w:b w:val="1"/>
                <w:i w:val="1"/>
                <w:smallCaps w:val="0"/>
                <w:strike w:val="0"/>
                <w:color w:val="000000"/>
                <w:sz w:val="22.079999923706055"/>
                <w:szCs w:val="22.079999923706055"/>
                <w:u w:val="none"/>
                <w:shd w:fill="deeaf6"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deeaf6" w:val="clear"/>
                <w:vertAlign w:val="baseline"/>
                <w:rtl w:val="0"/>
              </w:rPr>
              <w:t xml:space="preserve">Epidemiology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deeaf6" w:val="clear"/>
                <w:vertAlign w:val="baseline"/>
              </w:rPr>
            </w:pPr>
            <w:r w:rsidDel="00000000" w:rsidR="00000000" w:rsidRPr="00000000">
              <w:rPr>
                <w:rtl w:val="0"/>
              </w:rPr>
            </w:r>
          </w:p>
        </w:tc>
      </w:tr>
      <w:tr>
        <w:trPr>
          <w:cantSplit w:val="0"/>
          <w:trHeight w:val="2803.6013793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879150390625" w:right="0" w:firstLine="0"/>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ASD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9405250549316" w:lineRule="auto"/>
              <w:ind w:left="1198.9822387695312" w:right="259.498291015625" w:hanging="354.70062255859375"/>
              <w:jc w:val="both"/>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 2015, an estimated 164,000 people had autism, representing  about 1 in 150 Australians.(2) There are no specific statistics on  how many of these people are part of the paediatric population,  however approximately 43,500 people with autism accessed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376220703125" w:line="228.53206157684326" w:lineRule="auto"/>
              <w:ind w:left="1203.6190795898438" w:right="58.099365234375" w:hanging="4.8577880859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disability support services under the National Disability Agreement  (NDA) and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80% of those were under the age of 25.</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772216796875" w:line="240" w:lineRule="auto"/>
              <w:ind w:left="0" w:right="255.8129882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Males are ~4 times as likely as females to have autism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78247070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(although this statistic may be skewed by underdiagnosis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9020385742188"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 females.)(2)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1.445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The prevalence of ASD is increasing across all age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38.77685546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groups but in particular in children aged 5-14.(2)</w:t>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5.3199768066406"/>
        <w:gridCol w:w="6586.999206542969"/>
        <w:tblGridChange w:id="0">
          <w:tblGrid>
            <w:gridCol w:w="2765.3199768066406"/>
            <w:gridCol w:w="6586.999206542969"/>
          </w:tblGrid>
        </w:tblGridChange>
      </w:tblGrid>
      <w:tr>
        <w:trPr>
          <w:cantSplit w:val="0"/>
          <w:trHeight w:val="10476.398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7068576812744" w:lineRule="auto"/>
              <w:ind w:left="120.74874877929688" w:right="165.42877197265625" w:firstLine="2.42889404296875"/>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Intellectual, sensory or speech  and psychosocial disabilities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32359981536865" w:lineRule="auto"/>
              <w:ind w:left="484.2816162109375" w:right="215.872802734375" w:firstLine="60.9185791015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Pr>
              <w:drawing>
                <wp:inline distB="19050" distT="19050" distL="19050" distR="19050">
                  <wp:extent cx="3494405" cy="248285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494405" cy="2482850"/>
                          </a:xfrm>
                          <a:prstGeom prst="rect"/>
                          <a:ln/>
                        </pic:spPr>
                      </pic:pic>
                    </a:graphicData>
                  </a:graphic>
                </wp:inline>
              </w:drawing>
            </w: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According to the 2015 survey of disability, ageing and carers, around  7.4% (329,000) Australian children aged 0-14 had some level of  disability, with the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most common disability types being intellectual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(4.3%, 190,000 children) and sensory or speech (3.2%, 140,000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children.)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Approximately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80,000 children also have some degree of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psychosocial disability</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03271484375" w:line="201.68817043304443" w:lineRule="auto"/>
              <w:ind w:left="281.600341796875" w:right="66.2451171875" w:firstLine="0"/>
              <w:jc w:val="center"/>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Pr>
              <w:drawing>
                <wp:inline distB="19050" distT="19050" distL="19050" distR="19050">
                  <wp:extent cx="3825621" cy="2386965"/>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825621" cy="2386965"/>
                          </a:xfrm>
                          <a:prstGeom prst="rect"/>
                          <a:ln/>
                        </pic:spPr>
                      </pic:pic>
                    </a:graphicData>
                  </a:graphic>
                </wp:inline>
              </w:drawing>
            </w: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Social determinants of health may also interact with disability, with  disability being more prevalent in children in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low-income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39306640625" w:line="240" w:lineRule="auto"/>
              <w:ind w:left="0" w:right="857.4676513671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households, regional and remote areas and among ATSI</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02258300781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populations.(3)</w:t>
            </w:r>
          </w:p>
        </w:tc>
      </w:tr>
      <w:tr>
        <w:trPr>
          <w:cantSplit w:val="0"/>
          <w:trHeight w:val="272.3992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0715942382812" w:right="0" w:firstLine="0"/>
              <w:jc w:val="left"/>
              <w:rPr>
                <w:rFonts w:ascii="Arial Narrow" w:cs="Arial Narrow" w:eastAsia="Arial Narrow" w:hAnsi="Arial Narrow"/>
                <w:b w:val="1"/>
                <w:i w:val="1"/>
                <w:smallCaps w:val="0"/>
                <w:strike w:val="0"/>
                <w:color w:val="000000"/>
                <w:sz w:val="22.079999923706055"/>
                <w:szCs w:val="22.079999923706055"/>
                <w:u w:val="none"/>
                <w:shd w:fill="e2efd9"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e2efd9" w:val="clear"/>
                <w:vertAlign w:val="baseline"/>
                <w:rtl w:val="0"/>
              </w:rPr>
              <w:t xml:space="preserve">Pathophysiology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e2efd9" w:val="clear"/>
                <w:vertAlign w:val="baseline"/>
              </w:rPr>
            </w:pPr>
            <w:r w:rsidDel="00000000" w:rsidR="00000000" w:rsidRPr="00000000">
              <w:rPr>
                <w:rtl w:val="0"/>
              </w:rPr>
            </w:r>
          </w:p>
        </w:tc>
      </w:tr>
      <w:tr>
        <w:trPr>
          <w:cantSplit w:val="0"/>
          <w:trHeight w:val="1541.201477050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879150390625" w:right="0" w:firstLine="0"/>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ASD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7670059204102" w:lineRule="auto"/>
              <w:ind w:left="1198.7612915039062" w:right="59.671630859375" w:hanging="354.479675292968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The pathogenesis of ASD is unknown. It is surmised that that the  interaction between genetic factors and environmental factors, like  many neuropsychiatric and neurodevelopmental conditions, may  play a part in its pathogenesis. There are many known genetic  disorders which predispose children to the development of autism. In-utero exposures have also been linked to ASD.(1)</w:t>
            </w:r>
          </w:p>
        </w:tc>
      </w:tr>
      <w:tr>
        <w:trPr>
          <w:cantSplit w:val="0"/>
          <w:trHeight w:val="1034.3986511230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7764282226562" w:right="0" w:firstLine="0"/>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277439117432" w:lineRule="auto"/>
              <w:ind w:left="844.2816162109375" w:right="130.328369140625" w:firstLine="0"/>
              <w:jc w:val="center"/>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Intellectual disabilities may be caused by genetic conditions (e.g.,  Down Syndrome), pregnancy and birth complications (e.g.,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10595703125" w:line="228.169527053833" w:lineRule="auto"/>
              <w:ind w:left="1194.7872924804688" w:right="249.781494140625" w:firstLine="5.0781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cerebral palsy), illness, traumatic brain injuries or environmental  factors. </w:t>
            </w:r>
          </w:p>
        </w:tc>
      </w:tr>
      <w:tr>
        <w:trPr>
          <w:cantSplit w:val="0"/>
          <w:trHeight w:val="264.00131225585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02243041992188" w:right="0" w:firstLine="0"/>
              <w:jc w:val="left"/>
              <w:rPr>
                <w:rFonts w:ascii="Arial Narrow" w:cs="Arial Narrow" w:eastAsia="Arial Narrow" w:hAnsi="Arial Narrow"/>
                <w:b w:val="1"/>
                <w:i w:val="1"/>
                <w:smallCaps w:val="0"/>
                <w:strike w:val="0"/>
                <w:color w:val="000000"/>
                <w:sz w:val="22.079999923706055"/>
                <w:szCs w:val="22.079999923706055"/>
                <w:u w:val="none"/>
                <w:shd w:fill="ccccff"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ccccff" w:val="clear"/>
                <w:vertAlign w:val="baseline"/>
                <w:rtl w:val="0"/>
              </w:rPr>
              <w:t xml:space="preserve">Clinical Presentation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ccccff" w:val="clear"/>
                <w:vertAlign w:val="baseline"/>
              </w:rPr>
            </w:pPr>
            <w:r w:rsidDel="00000000" w:rsidR="00000000" w:rsidRPr="00000000">
              <w:rPr>
                <w:rtl w:val="0"/>
              </w:rPr>
            </w:r>
          </w:p>
        </w:tc>
      </w:tr>
      <w:tr>
        <w:trPr>
          <w:cantSplit w:val="0"/>
          <w:trHeight w:val="275.99868774414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879150390625" w:right="0" w:firstLine="0"/>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ASD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4.2816162109375"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Autism Spectrum Disorders are characterised by:(4)</w:t>
            </w:r>
          </w:p>
        </w:tc>
      </w:tr>
    </w:tbl>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5.3199768066406"/>
        <w:gridCol w:w="6586.999206542969"/>
        <w:tblGridChange w:id="0">
          <w:tblGrid>
            <w:gridCol w:w="2765.3199768066406"/>
            <w:gridCol w:w="6586.999206542969"/>
          </w:tblGrid>
        </w:tblGridChange>
      </w:tblGrid>
      <w:tr>
        <w:trPr>
          <w:cantSplit w:val="0"/>
          <w:trHeight w:val="7078.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0.77514648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Persistent deficits in social communication and social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1.67358398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interaction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across multiple contexts and environments,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0.95336914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including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deficits in social-emotional reciprocity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2.1606445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reduced sharing of interests, emotions or affect and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1.231079101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failure to initiate or respond to social interactions),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0.906982421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nonverbal communicative behaviours used for social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41.887817382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interaction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abnormalities in eye contact,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1.06567382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abnormalities or deficits in understanding body language,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6.60766601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tone of voice and facial expressions), as well as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skills in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7.58544921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developing, maintaining, and understanding relationships</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2.70874023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difficulties adjusting behaviour to different social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0.135498046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contexts, difficulties in imaginative play and absence of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9020385742188"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interest in peers.)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7.45849609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Restricted, repetitive patterns of behaviour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motor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7.778320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stereotypies, echolalia),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interests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strong attachment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0.93872070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to unusual objects or excessive or perseverative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0195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interests) or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activities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(e.g. insistence of adherence to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3.6297607421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routines and sameness, extreme distress at small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1.75415039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changes, rigid thinking patterns) can be a significant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5.187072753906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feature of ASD.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6.3671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Hyper or hyporeactivity to sensory input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or other atypical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369873046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sensory or perceptual difficulties (e.g., adverse response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1.25610351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to specific sounds, textures etc.) are features of ASD.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44219970703" w:lineRule="auto"/>
              <w:ind w:left="1564.7232055664062" w:right="218.861083984375" w:hanging="356.246337890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Intellectual impairment and structural language impairment</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may be features of ASD. Comorbidity is high, with comorbid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841796875" w:line="240" w:lineRule="auto"/>
              <w:ind w:left="0" w:right="112.3461914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disorders including other neurodevelopmental disorders such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1.760864257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as attention-deficit/hyperactivity disorder (ADHD) and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3.27758789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psychiatric disorders such as anxiety disorders</w:t>
            </w:r>
          </w:p>
        </w:tc>
      </w:tr>
      <w:tr>
        <w:trPr>
          <w:cantSplit w:val="0"/>
          <w:trHeight w:val="3055.80139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7764282226562" w:right="0" w:firstLine="0"/>
              <w:jc w:val="left"/>
              <w:rPr>
                <w:rFonts w:ascii="Arial Narrow" w:cs="Arial Narrow" w:eastAsia="Arial Narrow" w:hAnsi="Arial Narrow"/>
                <w:b w:val="0"/>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2.079999923706055"/>
                <w:szCs w:val="22.079999923706055"/>
                <w:u w:val="none"/>
                <w:shd w:fill="auto" w:val="clear"/>
                <w:vertAlign w:val="baseline"/>
                <w:rtl w:val="0"/>
              </w:rPr>
              <w:t xml:space="preserve">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300327301025" w:lineRule="auto"/>
              <w:ind w:left="1208.4768676757812" w:right="822.659912109375" w:hanging="724.1952514648438"/>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Intellectual Developmental Disorder is characterised by:(4) </w:t>
            </w: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Deficits in general mental abilities and impairment in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044921875" w:line="240" w:lineRule="auto"/>
              <w:ind w:left="0" w:right="918.42773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everyday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adaptive functioning,</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in comparison to an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6.24389648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individual's age, gender, and socioculturally matched peers.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139648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Adaptive functioning includes the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social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domain which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3.687133789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involves awareness of others' thoughts, feelings, and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2.08190917968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experiences, interpersonal communication skills, social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4.409484863281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judgement etc.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49844360352" w:lineRule="auto"/>
              <w:ind w:left="1564.5022583007812" w:right="238.9404296875" w:hanging="356.025390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Adaptive functioning also includes a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practical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domain which  involves learning and self-management across life settings,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04736328125" w:line="240" w:lineRule="auto"/>
              <w:ind w:left="0" w:right="235.67626953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including personal care, self-management of behaviour and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8.982238769531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emotions etc. </w:t>
            </w:r>
          </w:p>
        </w:tc>
      </w:tr>
      <w:tr>
        <w:trPr>
          <w:cantSplit w:val="0"/>
          <w:trHeight w:val="513.599548339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78454589844" w:lineRule="auto"/>
              <w:ind w:left="120.5279541015625" w:right="495.303955078125" w:firstLine="9.494476318359375"/>
              <w:jc w:val="left"/>
              <w:rPr>
                <w:rFonts w:ascii="Arial Narrow" w:cs="Arial Narrow" w:eastAsia="Arial Narrow" w:hAnsi="Arial Narrow"/>
                <w:b w:val="1"/>
                <w:i w:val="1"/>
                <w:smallCaps w:val="0"/>
                <w:strike w:val="0"/>
                <w:color w:val="000000"/>
                <w:sz w:val="22.079999923706055"/>
                <w:szCs w:val="22.079999923706055"/>
                <w:u w:val="none"/>
                <w:shd w:fill="ffcccc"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ffcccc" w:val="clear"/>
                <w:vertAlign w:val="baseline"/>
                <w:rtl w:val="0"/>
              </w:rPr>
              <w:t xml:space="preserve">Clinical Outcomes in the </w:t>
            </w: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ffcccc" w:val="clear"/>
                <w:vertAlign w:val="baseline"/>
                <w:rtl w:val="0"/>
              </w:rPr>
              <w:t xml:space="preserve">Healthcare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ffcccc" w:val="clear"/>
                <w:vertAlign w:val="baseline"/>
              </w:rPr>
            </w:pPr>
            <w:r w:rsidDel="00000000" w:rsidR="00000000" w:rsidRPr="00000000">
              <w:rPr>
                <w:rtl w:val="0"/>
              </w:rPr>
            </w:r>
          </w:p>
        </w:tc>
      </w:tr>
      <w:tr>
        <w:trPr>
          <w:cantSplit w:val="0"/>
          <w:trHeight w:val="2803.6000061035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1"/>
                <w:smallCaps w:val="0"/>
                <w:strike w:val="0"/>
                <w:color w:val="000000"/>
                <w:sz w:val="22.079999923706055"/>
                <w:szCs w:val="22.079999923706055"/>
                <w:u w:val="none"/>
                <w:shd w:fill="ffcccc"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54135894775" w:lineRule="auto"/>
              <w:ind w:left="844.5022583007812" w:right="457.3876953125" w:hanging="360.22064208984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Decreased engagement or compliance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with healthcare or medical  intervention/procedures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229.2563009262085" w:lineRule="auto"/>
              <w:ind w:left="1208.4768676757812" w:right="71.126708984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parents and carers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may be deterred from seeking healthcare</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due to worries and anxieties about the psychological stress of  intervention or due to the stress of their child escalating and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0595703125" w:line="228.16981315612793" w:lineRule="auto"/>
              <w:ind w:left="1564.5022583007812" w:right="60.394287109375" w:hanging="5.7409667968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displaying aggressive or self-injurious behaviours which could  potentially lead to poorer health outcomes downstream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26611328125" w:line="240" w:lineRule="auto"/>
              <w:ind w:left="0" w:right="152.26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children with ASD/ ID and developmental disabilities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4.261474609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are a vulnerable population and have high pre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0.82275390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existing comorbidity of physical and mental health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80.265197753906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conditions</w:t>
            </w:r>
          </w:p>
        </w:tc>
      </w:tr>
    </w:tbl>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5.3199768066406"/>
        <w:gridCol w:w="6586.999206542969"/>
        <w:tblGridChange w:id="0">
          <w:tblGrid>
            <w:gridCol w:w="2765.3199768066406"/>
            <w:gridCol w:w="6586.999206542969"/>
          </w:tblGrid>
        </w:tblGridChange>
      </w:tblGrid>
      <w:tr>
        <w:trPr>
          <w:cantSplit w:val="0"/>
          <w:trHeight w:val="4094.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7068576812744" w:lineRule="auto"/>
              <w:ind w:left="1564.5022583007812" w:right="99.981689453125" w:hanging="356.025390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Not all children are diagnosed early; reduced contact with the  health system may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decrease opportunities for diagnosis and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986328125" w:line="228.17068576812744" w:lineRule="auto"/>
              <w:ind w:left="1553.0209350585938" w:right="69.658203125" w:firstLine="5.9613037109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early intervention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which leads to poorer outcomes for children  with ASD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09375" w:line="229.25715923309326" w:lineRule="auto"/>
              <w:ind w:left="838.9822387695312" w:right="365.25634765625" w:hanging="354.70062255859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Care-related stress affects the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wellbeing of carers and families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and  may increase their mental health burden, which also feeds back to  affect the health and wellbeing of children with ASD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083984375" w:line="228.16956996917725" w:lineRule="auto"/>
              <w:ind w:left="844.5022583007812" w:right="145.224609375" w:hanging="360.22064208984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Long-term trauma, anxiety or acute psychological distress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for children  in the setting of healthcare and medical procedures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1181640625" w:line="230.34142971038818" w:lineRule="auto"/>
              <w:ind w:left="1558.5409545898438" w:right="169.2724609375" w:hanging="350.064086914062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Long-term trauma also possesses implications for the health  outcomes of children as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adults</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34765625" w:line="240" w:lineRule="auto"/>
              <w:ind w:left="0" w:right="100.9350585937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For adults with ASD, restraints and sedation may be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9.83520507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used (these are both demeaning and inhumane)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806640625" w:line="229.2566156387329" w:lineRule="auto"/>
              <w:ind w:left="844.5022583007812" w:right="596.7987060546875" w:hanging="360.220642089843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Maladaptive behaviours may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increase time to intervention and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u w:val="single"/>
                <w:shd w:fill="auto" w:val="clear"/>
                <w:vertAlign w:val="baseline"/>
                <w:rtl w:val="0"/>
              </w:rPr>
              <w:t xml:space="preserve">procedures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in time sensitive and emergency settings which may  impact health outcomes</w:t>
            </w:r>
          </w:p>
        </w:tc>
      </w:tr>
      <w:tr>
        <w:trPr>
          <w:cantSplit w:val="0"/>
          <w:trHeight w:val="2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0715942382812" w:right="0" w:firstLine="0"/>
              <w:jc w:val="left"/>
              <w:rPr>
                <w:rFonts w:ascii="Arial Narrow" w:cs="Arial Narrow" w:eastAsia="Arial Narrow" w:hAnsi="Arial Narrow"/>
                <w:b w:val="1"/>
                <w:i w:val="1"/>
                <w:smallCaps w:val="0"/>
                <w:strike w:val="0"/>
                <w:color w:val="000000"/>
                <w:sz w:val="22.079999923706055"/>
                <w:szCs w:val="22.079999923706055"/>
                <w:u w:val="none"/>
                <w:shd w:fill="fff2cc"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fff2cc" w:val="clear"/>
                <w:vertAlign w:val="baseline"/>
                <w:rtl w:val="0"/>
              </w:rPr>
              <w:t xml:space="preserve">Economic Impact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08642578125" w:right="0" w:firstLine="0"/>
              <w:jc w:val="left"/>
              <w:rPr>
                <w:rFonts w:ascii="Arial Narrow" w:cs="Arial Narrow" w:eastAsia="Arial Narrow" w:hAnsi="Arial Narrow"/>
                <w:b w:val="0"/>
                <w:i w:val="0"/>
                <w:smallCaps w:val="0"/>
                <w:strike w:val="0"/>
                <w:color w:val="000000"/>
                <w:sz w:val="16.079999923706055"/>
                <w:szCs w:val="16.079999923706055"/>
                <w:u w:val="none"/>
                <w:shd w:fill="fff2cc" w:val="clear"/>
                <w:vertAlign w:val="baseline"/>
              </w:rPr>
            </w:pPr>
            <w:r w:rsidDel="00000000" w:rsidR="00000000" w:rsidRPr="00000000">
              <w:rPr>
                <w:rFonts w:ascii="Arial Narrow" w:cs="Arial Narrow" w:eastAsia="Arial Narrow" w:hAnsi="Arial Narrow"/>
                <w:b w:val="0"/>
                <w:i w:val="0"/>
                <w:smallCaps w:val="0"/>
                <w:strike w:val="0"/>
                <w:color w:val="000000"/>
                <w:sz w:val="16.079999923706055"/>
                <w:szCs w:val="16.079999923706055"/>
                <w:u w:val="none"/>
                <w:shd w:fill="fff2cc" w:val="clear"/>
                <w:vertAlign w:val="baseline"/>
                <w:rtl w:val="0"/>
              </w:rPr>
              <w:t xml:space="preserve">Note: Could not find figures directly relevant to above health outcomes</w:t>
            </w:r>
          </w:p>
        </w:tc>
      </w:tr>
      <w:tr>
        <w:trPr>
          <w:cantSplit w:val="0"/>
          <w:trHeight w:val="4822.6007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16.079999923706055"/>
                <w:szCs w:val="16.079999923706055"/>
                <w:u w:val="none"/>
                <w:shd w:fill="fff2cc"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0.7489013671875" w:right="0" w:firstLine="0"/>
              <w:jc w:val="left"/>
              <w:rPr>
                <w:rFonts w:ascii="Arial Narrow" w:cs="Arial Narrow" w:eastAsia="Arial Narrow" w:hAnsi="Arial Narrow"/>
                <w:b w:val="1"/>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highlight w:val="white"/>
                <w:u w:val="none"/>
                <w:vertAlign w:val="baseline"/>
                <w:rtl w:val="0"/>
              </w:rPr>
              <w:t xml:space="preserve">Direct Financial Costs </w:t>
            </w: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56996917725" w:lineRule="auto"/>
              <w:ind w:left="1208.4768676757812" w:right="80.064697265625" w:firstLine="0"/>
              <w:jc w:val="center"/>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highlight w:val="white"/>
                <w:u w:val="none"/>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ASD results in an estimated annual national cost to Australia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of $4.5–7.2 billion that is borne by the individuals themselves,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their families, their community, and by government (5)</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228.16895484924316" w:lineRule="auto"/>
              <w:ind w:left="1208.4768676757812" w:right="327.298583984375" w:firstLine="0"/>
              <w:jc w:val="center"/>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highlight w:val="white"/>
                <w:u w:val="none"/>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Population based studies of children with ASD reports that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they are more likely to be hospitalised than typically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1474609375" w:line="240" w:lineRule="auto"/>
              <w:ind w:left="0" w:right="479.53735351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developing peers with longer lengths of stays and higher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8.982238769531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associated costs.(6)</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2568359375" w:line="240" w:lineRule="auto"/>
              <w:ind w:left="839.2031860351562" w:right="0" w:firstLine="0"/>
              <w:jc w:val="left"/>
              <w:rPr>
                <w:rFonts w:ascii="Arial Narrow" w:cs="Arial Narrow" w:eastAsia="Arial Narrow" w:hAnsi="Arial Narrow"/>
                <w:b w:val="1"/>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highlight w:val="white"/>
                <w:u w:val="none"/>
                <w:vertAlign w:val="baseline"/>
                <w:rtl w:val="0"/>
              </w:rPr>
              <w:t xml:space="preserve">Indirect Financial Costs</w:t>
            </w: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49844360352" w:lineRule="auto"/>
              <w:ind w:left="1554.7872924804688" w:right="147.999267578125" w:hanging="346.3104248046875"/>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079999923706055"/>
                <w:szCs w:val="22.079999923706055"/>
                <w:highlight w:val="white"/>
                <w:u w:val="none"/>
                <w:vertAlign w:val="baseline"/>
                <w:rtl w:val="0"/>
              </w:rPr>
              <w:t xml:space="preserve">o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Delay in diagnosis was associated with an indirect increased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financial burden to families</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04736328125" w:line="240" w:lineRule="auto"/>
              <w:ind w:left="0" w:right="121.47094726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highlight w:val="white"/>
                <w:u w:val="none"/>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Early and appropriate access to early intervention is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4.7180175781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known to improve a child's long-term outcomes and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9.010009765625" w:firstLine="0"/>
              <w:jc w:val="righ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reduce lifetime costs to the individual, family, and </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78.7197875976562" w:right="0" w:firstLine="0"/>
              <w:jc w:val="left"/>
              <w:rPr>
                <w:rFonts w:ascii="Arial Narrow" w:cs="Arial Narrow" w:eastAsia="Arial Narrow" w:hAnsi="Arial Narrow"/>
                <w:b w:val="0"/>
                <w:i w:val="0"/>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society</w:t>
            </w:r>
            <w:r w:rsidDel="00000000" w:rsidR="00000000" w:rsidRPr="00000000">
              <w:rPr>
                <w:rFonts w:ascii="Arial Narrow" w:cs="Arial Narrow" w:eastAsia="Arial Narrow" w:hAnsi="Arial Narrow"/>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1962890625" w:line="240" w:lineRule="auto"/>
              <w:ind w:left="840.9695434570312" w:right="0" w:firstLine="0"/>
              <w:jc w:val="left"/>
              <w:rPr>
                <w:rFonts w:ascii="Arial Narrow" w:cs="Arial Narrow" w:eastAsia="Arial Narrow" w:hAnsi="Arial Narrow"/>
                <w:b w:val="1"/>
                <w:i w:val="1"/>
                <w:smallCaps w:val="0"/>
                <w:strike w:val="0"/>
                <w:color w:val="000000"/>
                <w:sz w:val="22.079999923706055"/>
                <w:szCs w:val="22.079999923706055"/>
                <w:u w:val="none"/>
                <w:shd w:fill="auto" w:val="clear"/>
                <w:vertAlign w:val="baseline"/>
              </w:rPr>
            </w:pPr>
            <w:r w:rsidDel="00000000" w:rsidR="00000000" w:rsidRPr="00000000">
              <w:rPr>
                <w:rFonts w:ascii="Arial Narrow" w:cs="Arial Narrow" w:eastAsia="Arial Narrow" w:hAnsi="Arial Narrow"/>
                <w:b w:val="1"/>
                <w:i w:val="1"/>
                <w:smallCaps w:val="0"/>
                <w:strike w:val="0"/>
                <w:color w:val="000000"/>
                <w:sz w:val="22.079999923706055"/>
                <w:szCs w:val="22.079999923706055"/>
                <w:highlight w:val="white"/>
                <w:u w:val="none"/>
                <w:vertAlign w:val="baseline"/>
                <w:rtl w:val="0"/>
              </w:rPr>
              <w:t xml:space="preserve">Non-Financial Costs and Intangible Impacts</w:t>
            </w:r>
            <w:r w:rsidDel="00000000" w:rsidR="00000000" w:rsidRPr="00000000">
              <w:rPr>
                <w:rFonts w:ascii="Arial Narrow" w:cs="Arial Narrow" w:eastAsia="Arial Narrow" w:hAnsi="Arial Narrow"/>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26171875" w:line="240" w:lineRule="auto"/>
              <w:ind w:left="1204.2813110351562" w:right="0" w:firstLine="0"/>
              <w:jc w:val="left"/>
              <w:rPr>
                <w:rFonts w:ascii="Arial Narrow" w:cs="Arial Narrow" w:eastAsia="Arial Narrow" w:hAnsi="Arial Narrow"/>
                <w:b w:val="0"/>
                <w:i w:val="0"/>
                <w:smallCaps w:val="0"/>
                <w:strike w:val="0"/>
                <w:color w:val="000000"/>
                <w:sz w:val="22.079999923706055"/>
                <w:szCs w:val="22.079999923706055"/>
                <w:highlight w:val="white"/>
                <w:u w:val="none"/>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highlight w:val="white"/>
                <w:u w:val="none"/>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2.079999923706055"/>
                <w:szCs w:val="22.079999923706055"/>
                <w:highlight w:val="white"/>
                <w:u w:val="none"/>
                <w:vertAlign w:val="baseline"/>
                <w:rtl w:val="0"/>
              </w:rPr>
              <w:t xml:space="preserve">Quality of life impacts (psychosocial wellbeing)</w:t>
            </w:r>
          </w:p>
        </w:tc>
      </w:tr>
    </w:tb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5198974609375" w:line="229.90829944610596" w:lineRule="auto"/>
        <w:ind w:left="399.5997619628906" w:right="940.919189453125" w:hanging="391.4398193359375"/>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sectPr>
      <w:pgSz w:h="16840" w:w="11880" w:orient="portrait"/>
      <w:pgMar w:bottom="1492.7995300292969" w:top="1425.999755859375" w:left="1440" w:right="797.2009277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