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rPr>
          <w:color w:val="1d1c1d"/>
          <w:sz w:val="33"/>
          <w:szCs w:val="33"/>
          <w:highlight w:val="white"/>
        </w:rPr>
      </w:pPr>
      <w:r w:rsidDel="00000000" w:rsidR="00000000" w:rsidRPr="00000000">
        <w:rPr>
          <w:color w:val="1d1c1d"/>
          <w:sz w:val="33"/>
          <w:szCs w:val="33"/>
          <w:highlight w:val="white"/>
          <w:rtl w:val="0"/>
        </w:rPr>
        <w:t xml:space="preserve">Week 8 </w:t>
      </w:r>
    </w:p>
    <w:p w:rsidR="00000000" w:rsidDel="00000000" w:rsidP="00000000" w:rsidRDefault="00000000" w:rsidRPr="00000000" w14:paraId="00000002">
      <w:pPr>
        <w:ind w:left="0" w:firstLine="0"/>
        <w:rPr>
          <w:color w:val="1d1c1d"/>
          <w:sz w:val="33"/>
          <w:szCs w:val="33"/>
          <w:highlight w:val="white"/>
        </w:rPr>
      </w:pPr>
      <w:r w:rsidDel="00000000" w:rsidR="00000000" w:rsidRPr="00000000">
        <w:rPr>
          <w:color w:val="1d1c1d"/>
          <w:sz w:val="33"/>
          <w:szCs w:val="33"/>
          <w:highlight w:val="white"/>
          <w:rtl w:val="0"/>
        </w:rPr>
        <w:t xml:space="preserve">Potential Partnering</w:t>
      </w:r>
      <w:r w:rsidDel="00000000" w:rsidR="00000000" w:rsidRPr="00000000">
        <w:rPr>
          <w:color w:val="1d1c1d"/>
          <w:sz w:val="33"/>
          <w:szCs w:val="33"/>
          <w:highlight w:val="white"/>
          <w:rtl w:val="0"/>
        </w:rPr>
        <w:t xml:space="preserve"> Organisations</w:t>
      </w:r>
    </w:p>
    <w:p w:rsidR="00000000" w:rsidDel="00000000" w:rsidP="00000000" w:rsidRDefault="00000000" w:rsidRPr="00000000" w14:paraId="00000003">
      <w:pPr>
        <w:ind w:left="0" w:firstLine="0"/>
        <w:rPr>
          <w:color w:val="1d1c1d"/>
          <w:sz w:val="31"/>
          <w:szCs w:val="31"/>
          <w:highlight w:val="white"/>
        </w:rPr>
      </w:pPr>
      <w:r w:rsidDel="00000000" w:rsidR="00000000" w:rsidRPr="00000000">
        <w:rPr>
          <w:rtl w:val="0"/>
        </w:rPr>
      </w:r>
    </w:p>
    <w:tbl>
      <w:tblPr>
        <w:tblStyle w:val="Table1"/>
        <w:tblW w:w="10005.0" w:type="dxa"/>
        <w:jc w:val="left"/>
        <w:tblInd w:w="-5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4770"/>
        <w:gridCol w:w="3030"/>
        <w:tblGridChange w:id="0">
          <w:tblGrid>
            <w:gridCol w:w="2205"/>
            <w:gridCol w:w="4770"/>
            <w:gridCol w:w="30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b w:val="1"/>
                <w:color w:val="1d1c1d"/>
                <w:sz w:val="23"/>
                <w:szCs w:val="23"/>
                <w:highlight w:val="white"/>
                <w:rtl w:val="0"/>
              </w:rPr>
              <w:t xml:space="preserve">Organisations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b w:val="1"/>
                <w:color w:val="1d1c1d"/>
                <w:sz w:val="23"/>
                <w:szCs w:val="23"/>
                <w:highlight w:val="white"/>
                <w:rtl w:val="0"/>
              </w:rPr>
              <w:t xml:space="preserve">Relevance and Medical Context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b w:val="1"/>
                <w:color w:val="1d1c1d"/>
                <w:sz w:val="23"/>
                <w:szCs w:val="23"/>
                <w:highlight w:val="white"/>
                <w:rtl w:val="0"/>
              </w:rPr>
              <w:t xml:space="preserve">Incentive to help with project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b w:val="1"/>
                <w:color w:val="1d1c1d"/>
                <w:sz w:val="23"/>
                <w:szCs w:val="23"/>
                <w:highlight w:val="white"/>
                <w:rtl w:val="0"/>
              </w:rPr>
              <w:t xml:space="preserve">Healthy Males Australia</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hyperlink r:id="rId6">
              <w:r w:rsidDel="00000000" w:rsidR="00000000" w:rsidRPr="00000000">
                <w:rPr>
                  <w:b w:val="1"/>
                  <w:color w:val="1155cc"/>
                  <w:sz w:val="23"/>
                  <w:szCs w:val="23"/>
                  <w:highlight w:val="white"/>
                  <w:u w:val="single"/>
                  <w:rtl w:val="0"/>
                </w:rPr>
                <w:t xml:space="preserve">https://www.healthymale.org.au/</w:t>
              </w:r>
            </w:hyperlink>
            <w:r w:rsidDel="00000000" w:rsidR="00000000" w:rsidRPr="00000000">
              <w:rPr>
                <w:b w:val="1"/>
                <w:color w:val="1d1c1d"/>
                <w:sz w:val="23"/>
                <w:szCs w:val="23"/>
                <w:highlight w:val="whit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Have an existing connection with Simon, the CEO at Healthy Males Organisations; connected through clinician. As suggested by clinicians, the organisation would be on board to collaborate on an awareness project. Simon would likely agree, however haven’t confirmed.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Healthy Males would be relevant as the awareness tools could be promoted through them, or could potentially collaborate with them to create the campaign.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Healthy Males is a national organisation, established in 2000, that provides information, resources, and guides for men’s health. </w:t>
            </w:r>
          </w:p>
          <w:p w:rsidR="00000000" w:rsidDel="00000000" w:rsidP="00000000" w:rsidRDefault="00000000" w:rsidRPr="00000000" w14:paraId="0000000F">
            <w:pPr>
              <w:widowControl w:val="0"/>
              <w:spacing w:line="240" w:lineRule="auto"/>
              <w:rPr>
                <w:color w:val="1d1c1d"/>
                <w:sz w:val="23"/>
                <w:szCs w:val="23"/>
                <w:highlight w:val="white"/>
              </w:rPr>
            </w:pPr>
            <w:r w:rsidDel="00000000" w:rsidR="00000000" w:rsidRPr="00000000">
              <w:rPr>
                <w:rtl w:val="0"/>
              </w:rPr>
            </w:r>
          </w:p>
          <w:p w:rsidR="00000000" w:rsidDel="00000000" w:rsidP="00000000" w:rsidRDefault="00000000" w:rsidRPr="00000000" w14:paraId="00000010">
            <w:pPr>
              <w:widowControl w:val="0"/>
              <w:spacing w:line="240" w:lineRule="auto"/>
              <w:rPr>
                <w:color w:val="1d1c1d"/>
                <w:sz w:val="23"/>
                <w:szCs w:val="23"/>
                <w:highlight w:val="white"/>
              </w:rPr>
            </w:pPr>
            <w:r w:rsidDel="00000000" w:rsidR="00000000" w:rsidRPr="00000000">
              <w:rPr>
                <w:color w:val="1d1c1d"/>
                <w:sz w:val="23"/>
                <w:szCs w:val="23"/>
                <w:highlight w:val="white"/>
                <w:rtl w:val="0"/>
              </w:rPr>
              <w:t xml:space="preserve">They are also partners with Health Direct Australia, and Better Health Channel, and supported by the Australian Government Department of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The aim of the Healthy Males organisation is to make their information more available to the male community to fill the gaps in men’s health. This aligns with Project Pluto’s mission to raise awareness of Klinefelter’s Syndrome, hence it is likely there can be collaboration opportunities to work together.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b w:val="1"/>
                <w:color w:val="1d1c1d"/>
                <w:sz w:val="23"/>
                <w:szCs w:val="23"/>
                <w:highlight w:val="white"/>
                <w:rtl w:val="0"/>
              </w:rPr>
              <w:t xml:space="preserve">Australian X and Y Spectrum Support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hyperlink r:id="rId7">
              <w:r w:rsidDel="00000000" w:rsidR="00000000" w:rsidRPr="00000000">
                <w:rPr>
                  <w:b w:val="1"/>
                  <w:color w:val="1155cc"/>
                  <w:sz w:val="23"/>
                  <w:szCs w:val="23"/>
                  <w:highlight w:val="white"/>
                  <w:u w:val="single"/>
                  <w:rtl w:val="0"/>
                </w:rPr>
                <w:t xml:space="preserve">https://axys.org.au/</w:t>
              </w:r>
            </w:hyperlink>
            <w:r w:rsidDel="00000000" w:rsidR="00000000" w:rsidRPr="00000000">
              <w:rPr>
                <w:b w:val="1"/>
                <w:color w:val="1d1c1d"/>
                <w:sz w:val="23"/>
                <w:szCs w:val="23"/>
                <w:highlight w:val="whit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color w:val="1d1c1d"/>
                <w:sz w:val="23"/>
                <w:szCs w:val="23"/>
                <w:highlight w:val="white"/>
              </w:rPr>
            </w:pPr>
            <w:r w:rsidDel="00000000" w:rsidR="00000000" w:rsidRPr="00000000">
              <w:rPr>
                <w:color w:val="1d1c1d"/>
                <w:sz w:val="23"/>
                <w:szCs w:val="23"/>
                <w:highlight w:val="white"/>
                <w:rtl w:val="0"/>
              </w:rPr>
              <w:t xml:space="preserve">“AXYS Australia provides support and information to individuals, parents and spouses with an X &amp; Y chromosome variant”</w:t>
            </w:r>
          </w:p>
          <w:p w:rsidR="00000000" w:rsidDel="00000000" w:rsidP="00000000" w:rsidRDefault="00000000" w:rsidRPr="00000000" w14:paraId="00000016">
            <w:pPr>
              <w:widowControl w:val="0"/>
              <w:spacing w:line="240" w:lineRule="auto"/>
              <w:rPr>
                <w:color w:val="1d1c1d"/>
                <w:sz w:val="23"/>
                <w:szCs w:val="23"/>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color w:val="1d1c1d"/>
                <w:sz w:val="23"/>
                <w:szCs w:val="23"/>
                <w:highlight w:val="white"/>
              </w:rPr>
            </w:pPr>
            <w:r w:rsidDel="00000000" w:rsidR="00000000" w:rsidRPr="00000000">
              <w:rPr>
                <w:color w:val="1d1c1d"/>
                <w:sz w:val="23"/>
                <w:szCs w:val="23"/>
                <w:highlight w:val="white"/>
                <w:rtl w:val="0"/>
              </w:rPr>
              <w:t xml:space="preserve">The AXYS website contains a lot of information about common X and Y variant conditions, including different types of Klinefelter’s Syndrome. The website lacks some self-examination resources or next-step processes, which could provide opportunity for this project to contribute to. </w:t>
            </w:r>
          </w:p>
          <w:p w:rsidR="00000000" w:rsidDel="00000000" w:rsidP="00000000" w:rsidRDefault="00000000" w:rsidRPr="00000000" w14:paraId="00000018">
            <w:pPr>
              <w:widowControl w:val="0"/>
              <w:spacing w:line="240" w:lineRule="auto"/>
              <w:rPr>
                <w:color w:val="1d1c1d"/>
                <w:sz w:val="23"/>
                <w:szCs w:val="23"/>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color w:val="1d1c1d"/>
                <w:sz w:val="23"/>
                <w:szCs w:val="23"/>
                <w:highlight w:val="white"/>
              </w:rPr>
            </w:pPr>
            <w:r w:rsidDel="00000000" w:rsidR="00000000" w:rsidRPr="00000000">
              <w:rPr>
                <w:color w:val="1d1c1d"/>
                <w:sz w:val="23"/>
                <w:szCs w:val="23"/>
                <w:highlight w:val="white"/>
                <w:rtl w:val="0"/>
              </w:rPr>
              <w:t xml:space="preserve">Also, the organisation represents the Australian Human Rights Commision and Victorian Intersex Advisory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AXYS has a focus on supporting, empowering and informing people of common chromosomal variations. The volunteer organisation would likely be willing to collaborate and take on new ideas.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b w:val="1"/>
                <w:color w:val="1d1c1d"/>
                <w:sz w:val="23"/>
                <w:szCs w:val="23"/>
                <w:highlight w:val="white"/>
                <w:rtl w:val="0"/>
              </w:rPr>
              <w:t xml:space="preserve">Genetic Alliance Australia</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d1c1d"/>
                <w:sz w:val="23"/>
                <w:szCs w:val="23"/>
                <w:highlight w:val="white"/>
              </w:rPr>
            </w:pPr>
            <w:hyperlink r:id="rId8">
              <w:r w:rsidDel="00000000" w:rsidR="00000000" w:rsidRPr="00000000">
                <w:rPr>
                  <w:b w:val="1"/>
                  <w:color w:val="1155cc"/>
                  <w:sz w:val="23"/>
                  <w:szCs w:val="23"/>
                  <w:highlight w:val="white"/>
                  <w:u w:val="single"/>
                  <w:rtl w:val="0"/>
                </w:rPr>
                <w:t xml:space="preserve">https://www.geneticalliance.org.au/conditions_detail.php?Klinefelter-Syndrome-47-XXY-304</w:t>
              </w:r>
            </w:hyperlink>
            <w:r w:rsidDel="00000000" w:rsidR="00000000" w:rsidRPr="00000000">
              <w:rPr>
                <w:b w:val="1"/>
                <w:color w:val="1d1c1d"/>
                <w:sz w:val="23"/>
                <w:szCs w:val="23"/>
                <w:highlight w:val="whit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The mission at Genetic Alliance Australia is to facilitate support for individuals affected by genetic conditions throughout Australasia.</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The website contains a database of genetic conditions, one of which is Klinefelter’s Syndrome. This page directs users to the AXYS contact, as well as providing further useful links for information. This could be an opportunity to display the tool.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d1c1d"/>
                <w:sz w:val="23"/>
                <w:szCs w:val="23"/>
                <w:highlight w:val="white"/>
              </w:rPr>
            </w:pPr>
            <w:r w:rsidDel="00000000" w:rsidR="00000000" w:rsidRPr="00000000">
              <w:rPr>
                <w:color w:val="1d1c1d"/>
                <w:sz w:val="23"/>
                <w:szCs w:val="23"/>
                <w:highlight w:val="white"/>
                <w:rtl w:val="0"/>
              </w:rPr>
              <w:t xml:space="preserve">The aim of Genetic Alliance is to facilitate contact between individuals affected by the same conditions; the focus is on finding for its users their relevant support group. The primary aim may not be to spread awareness, however, the website contains links for volunteering opportunities.</w:t>
            </w:r>
          </w:p>
        </w:tc>
      </w:tr>
    </w:tbl>
    <w:p w:rsidR="00000000" w:rsidDel="00000000" w:rsidP="00000000" w:rsidRDefault="00000000" w:rsidRPr="00000000" w14:paraId="00000022">
      <w:pPr>
        <w:ind w:left="720" w:firstLine="0"/>
        <w:rPr>
          <w:b w:val="1"/>
          <w:color w:val="1d1c1d"/>
          <w:sz w:val="23"/>
          <w:szCs w:val="23"/>
          <w:highlight w:val="white"/>
        </w:rPr>
      </w:pPr>
      <w:r w:rsidDel="00000000" w:rsidR="00000000" w:rsidRPr="00000000">
        <w:rPr>
          <w:rtl w:val="0"/>
        </w:rPr>
      </w:r>
    </w:p>
    <w:p w:rsidR="00000000" w:rsidDel="00000000" w:rsidP="00000000" w:rsidRDefault="00000000" w:rsidRPr="00000000" w14:paraId="00000023">
      <w:pPr>
        <w:ind w:left="0" w:firstLine="0"/>
        <w:rPr>
          <w:color w:val="1d1c1d"/>
          <w:sz w:val="23"/>
          <w:szCs w:val="23"/>
          <w:highlight w:val="white"/>
        </w:rPr>
      </w:pPr>
      <w:r w:rsidDel="00000000" w:rsidR="00000000" w:rsidRPr="00000000">
        <w:rPr>
          <w:rtl w:val="0"/>
        </w:rPr>
      </w:r>
    </w:p>
    <w:p w:rsidR="00000000" w:rsidDel="00000000" w:rsidP="00000000" w:rsidRDefault="00000000" w:rsidRPr="00000000" w14:paraId="00000024">
      <w:pPr>
        <w:ind w:left="0" w:firstLine="0"/>
        <w:rPr>
          <w:color w:val="1d1c1d"/>
          <w:sz w:val="33"/>
          <w:szCs w:val="33"/>
          <w:highlight w:val="white"/>
        </w:rPr>
      </w:pPr>
      <w:r w:rsidDel="00000000" w:rsidR="00000000" w:rsidRPr="00000000">
        <w:rPr>
          <w:color w:val="1d1c1d"/>
          <w:sz w:val="33"/>
          <w:szCs w:val="33"/>
          <w:highlight w:val="white"/>
          <w:rtl w:val="0"/>
        </w:rPr>
        <w:t xml:space="preserve">Delivering Solution</w:t>
      </w:r>
    </w:p>
    <w:p w:rsidR="00000000" w:rsidDel="00000000" w:rsidP="00000000" w:rsidRDefault="00000000" w:rsidRPr="00000000" w14:paraId="00000025">
      <w:pPr>
        <w:ind w:left="0" w:firstLine="0"/>
        <w:rPr>
          <w:b w:val="1"/>
          <w:color w:val="1d1c1d"/>
          <w:sz w:val="23"/>
          <w:szCs w:val="23"/>
          <w:highlight w:val="white"/>
        </w:rPr>
      </w:pPr>
      <w:r w:rsidDel="00000000" w:rsidR="00000000" w:rsidRPr="00000000">
        <w:rPr>
          <w:b w:val="1"/>
          <w:color w:val="1d1c1d"/>
          <w:sz w:val="23"/>
          <w:szCs w:val="23"/>
          <w:highlight w:val="white"/>
          <w:rtl w:val="0"/>
        </w:rPr>
        <w:t xml:space="preserve">Interactive infographic:</w:t>
      </w:r>
    </w:p>
    <w:p w:rsidR="00000000" w:rsidDel="00000000" w:rsidP="00000000" w:rsidRDefault="00000000" w:rsidRPr="00000000" w14:paraId="00000026">
      <w:pPr>
        <w:rPr>
          <w:color w:val="1d1c1d"/>
          <w:sz w:val="23"/>
          <w:szCs w:val="23"/>
          <w:highlight w:val="white"/>
        </w:rPr>
      </w:pPr>
      <w:r w:rsidDel="00000000" w:rsidR="00000000" w:rsidRPr="00000000">
        <w:rPr>
          <w:color w:val="1d1c1d"/>
          <w:sz w:val="24"/>
          <w:szCs w:val="24"/>
          <w:highlight w:val="white"/>
          <w:rtl w:val="0"/>
        </w:rPr>
        <w:t xml:space="preserve">The tool will focus on self-examination which can be promoted through awareness tools. The infographic will provide essential information on Klinefelter's Syndrome and its symptoms, and provide a method of self-examination that will help prompt further investigation; it is by no means a method of diagnosis. The solution will be presented in a poster form which can be displayed digitally or on paper. </w:t>
      </w:r>
      <w:r w:rsidDel="00000000" w:rsidR="00000000" w:rsidRPr="00000000">
        <w:rPr>
          <w:rtl w:val="0"/>
        </w:rPr>
      </w:r>
    </w:p>
    <w:p w:rsidR="00000000" w:rsidDel="00000000" w:rsidP="00000000" w:rsidRDefault="00000000" w:rsidRPr="00000000" w14:paraId="00000027">
      <w:pPr>
        <w:ind w:left="0" w:firstLine="0"/>
        <w:rPr>
          <w:b w:val="1"/>
          <w:color w:val="1d1c1d"/>
          <w:sz w:val="23"/>
          <w:szCs w:val="23"/>
          <w:highlight w:val="white"/>
        </w:rPr>
      </w:pPr>
      <w:r w:rsidDel="00000000" w:rsidR="00000000" w:rsidRPr="00000000">
        <w:rPr>
          <w:rtl w:val="0"/>
        </w:rPr>
      </w:r>
    </w:p>
    <w:p w:rsidR="00000000" w:rsidDel="00000000" w:rsidP="00000000" w:rsidRDefault="00000000" w:rsidRPr="00000000" w14:paraId="00000028">
      <w:pPr>
        <w:ind w:left="0" w:firstLine="0"/>
        <w:rPr>
          <w:b w:val="1"/>
          <w:color w:val="1d1c1d"/>
          <w:sz w:val="23"/>
          <w:szCs w:val="23"/>
          <w:highlight w:val="white"/>
        </w:rPr>
      </w:pPr>
      <w:r w:rsidDel="00000000" w:rsidR="00000000" w:rsidRPr="00000000">
        <w:rPr>
          <w:b w:val="1"/>
          <w:color w:val="1d1c1d"/>
          <w:sz w:val="23"/>
          <w:szCs w:val="23"/>
          <w:highlight w:val="white"/>
          <w:rtl w:val="0"/>
        </w:rPr>
        <w:t xml:space="preserve">Key information on infographic:</w:t>
      </w:r>
    </w:p>
    <w:p w:rsidR="00000000" w:rsidDel="00000000" w:rsidP="00000000" w:rsidRDefault="00000000" w:rsidRPr="00000000" w14:paraId="00000029">
      <w:pPr>
        <w:rPr>
          <w:color w:val="1d1c1d"/>
          <w:sz w:val="24"/>
          <w:szCs w:val="24"/>
          <w:highlight w:val="white"/>
        </w:rPr>
      </w:pPr>
      <w:r w:rsidDel="00000000" w:rsidR="00000000" w:rsidRPr="00000000">
        <w:rPr>
          <w:color w:val="1d1c1d"/>
          <w:sz w:val="24"/>
          <w:szCs w:val="24"/>
          <w:highlight w:val="white"/>
          <w:rtl w:val="0"/>
        </w:rPr>
        <w:t xml:space="preserve">The infographic will provide:</w:t>
      </w:r>
    </w:p>
    <w:p w:rsidR="00000000" w:rsidDel="00000000" w:rsidP="00000000" w:rsidRDefault="00000000" w:rsidRPr="00000000" w14:paraId="0000002A">
      <w:pPr>
        <w:numPr>
          <w:ilvl w:val="0"/>
          <w:numId w:val="3"/>
        </w:numPr>
        <w:ind w:left="720" w:hanging="360"/>
        <w:rPr>
          <w:color w:val="1d1c1d"/>
          <w:sz w:val="24"/>
          <w:szCs w:val="24"/>
          <w:highlight w:val="white"/>
          <w:u w:val="none"/>
        </w:rPr>
      </w:pPr>
      <w:r w:rsidDel="00000000" w:rsidR="00000000" w:rsidRPr="00000000">
        <w:rPr>
          <w:color w:val="1d1c1d"/>
          <w:sz w:val="24"/>
          <w:szCs w:val="24"/>
          <w:highlight w:val="white"/>
          <w:rtl w:val="0"/>
        </w:rPr>
        <w:t xml:space="preserve">Testicular size indications (that can be cut out or folded)</w:t>
      </w:r>
    </w:p>
    <w:p w:rsidR="00000000" w:rsidDel="00000000" w:rsidP="00000000" w:rsidRDefault="00000000" w:rsidRPr="00000000" w14:paraId="0000002B">
      <w:pPr>
        <w:numPr>
          <w:ilvl w:val="1"/>
          <w:numId w:val="3"/>
        </w:numPr>
        <w:ind w:left="1440" w:hanging="360"/>
        <w:rPr>
          <w:color w:val="1d1c1d"/>
          <w:sz w:val="24"/>
          <w:szCs w:val="24"/>
          <w:highlight w:val="white"/>
          <w:u w:val="none"/>
        </w:rPr>
      </w:pPr>
      <w:r w:rsidDel="00000000" w:rsidR="00000000" w:rsidRPr="00000000">
        <w:rPr>
          <w:color w:val="1d1c1d"/>
          <w:sz w:val="24"/>
          <w:szCs w:val="24"/>
          <w:highlight w:val="white"/>
          <w:rtl w:val="0"/>
        </w:rPr>
        <w:t xml:space="preserve">A single oval shape that will prompt investigation if individuals are below this size </w:t>
      </w:r>
    </w:p>
    <w:p w:rsidR="00000000" w:rsidDel="00000000" w:rsidP="00000000" w:rsidRDefault="00000000" w:rsidRPr="00000000" w14:paraId="0000002C">
      <w:pPr>
        <w:numPr>
          <w:ilvl w:val="1"/>
          <w:numId w:val="3"/>
        </w:numPr>
        <w:ind w:left="1440" w:hanging="360"/>
        <w:rPr>
          <w:color w:val="1d1c1d"/>
          <w:sz w:val="24"/>
          <w:szCs w:val="24"/>
          <w:highlight w:val="white"/>
          <w:u w:val="none"/>
        </w:rPr>
      </w:pPr>
      <w:r w:rsidDel="00000000" w:rsidR="00000000" w:rsidRPr="00000000">
        <w:rPr>
          <w:color w:val="1d1c1d"/>
          <w:sz w:val="24"/>
          <w:szCs w:val="24"/>
          <w:highlight w:val="white"/>
          <w:rtl w:val="0"/>
        </w:rPr>
        <w:t xml:space="preserve">Ruler measurement next to the oval, with a measurement scale (e.g. what does 1 cm look like for an A4 print)</w:t>
      </w:r>
    </w:p>
    <w:p w:rsidR="00000000" w:rsidDel="00000000" w:rsidP="00000000" w:rsidRDefault="00000000" w:rsidRPr="00000000" w14:paraId="0000002D">
      <w:pPr>
        <w:numPr>
          <w:ilvl w:val="0"/>
          <w:numId w:val="3"/>
        </w:numPr>
        <w:ind w:left="720" w:hanging="360"/>
        <w:rPr>
          <w:color w:val="1d1c1d"/>
          <w:sz w:val="24"/>
          <w:szCs w:val="24"/>
          <w:highlight w:val="white"/>
          <w:u w:val="none"/>
        </w:rPr>
      </w:pPr>
      <w:r w:rsidDel="00000000" w:rsidR="00000000" w:rsidRPr="00000000">
        <w:rPr>
          <w:color w:val="1d1c1d"/>
          <w:sz w:val="24"/>
          <w:szCs w:val="24"/>
          <w:highlight w:val="white"/>
          <w:rtl w:val="0"/>
        </w:rPr>
        <w:t xml:space="preserve">The step-by-step self-examination process</w:t>
      </w:r>
    </w:p>
    <w:p w:rsidR="00000000" w:rsidDel="00000000" w:rsidP="00000000" w:rsidRDefault="00000000" w:rsidRPr="00000000" w14:paraId="0000002E">
      <w:pPr>
        <w:numPr>
          <w:ilvl w:val="1"/>
          <w:numId w:val="3"/>
        </w:numPr>
        <w:ind w:left="1440" w:hanging="360"/>
        <w:rPr>
          <w:color w:val="1d1c1d"/>
          <w:sz w:val="24"/>
          <w:szCs w:val="24"/>
          <w:highlight w:val="white"/>
          <w:u w:val="none"/>
        </w:rPr>
      </w:pPr>
      <w:r w:rsidDel="00000000" w:rsidR="00000000" w:rsidRPr="00000000">
        <w:rPr>
          <w:color w:val="1d1c1d"/>
          <w:sz w:val="24"/>
          <w:szCs w:val="24"/>
          <w:highlight w:val="white"/>
          <w:rtl w:val="0"/>
        </w:rPr>
        <w:t xml:space="preserve">Could be steps for how-to use the oval indication</w:t>
      </w:r>
    </w:p>
    <w:p w:rsidR="00000000" w:rsidDel="00000000" w:rsidP="00000000" w:rsidRDefault="00000000" w:rsidRPr="00000000" w14:paraId="0000002F">
      <w:pPr>
        <w:numPr>
          <w:ilvl w:val="0"/>
          <w:numId w:val="3"/>
        </w:numPr>
        <w:ind w:left="720" w:hanging="360"/>
        <w:rPr>
          <w:color w:val="1d1c1d"/>
          <w:sz w:val="24"/>
          <w:szCs w:val="24"/>
          <w:highlight w:val="white"/>
          <w:u w:val="none"/>
        </w:rPr>
      </w:pPr>
      <w:r w:rsidDel="00000000" w:rsidR="00000000" w:rsidRPr="00000000">
        <w:rPr>
          <w:color w:val="1d1c1d"/>
          <w:sz w:val="24"/>
          <w:szCs w:val="24"/>
          <w:highlight w:val="white"/>
          <w:rtl w:val="0"/>
        </w:rPr>
        <w:t xml:space="preserve">Links to videos that provide additional help</w:t>
      </w:r>
    </w:p>
    <w:p w:rsidR="00000000" w:rsidDel="00000000" w:rsidP="00000000" w:rsidRDefault="00000000" w:rsidRPr="00000000" w14:paraId="00000030">
      <w:pPr>
        <w:numPr>
          <w:ilvl w:val="1"/>
          <w:numId w:val="3"/>
        </w:numPr>
        <w:ind w:left="1440" w:hanging="360"/>
        <w:rPr>
          <w:color w:val="1d1c1d"/>
          <w:sz w:val="24"/>
          <w:szCs w:val="24"/>
          <w:highlight w:val="white"/>
          <w:u w:val="none"/>
        </w:rPr>
      </w:pPr>
      <w:r w:rsidDel="00000000" w:rsidR="00000000" w:rsidRPr="00000000">
        <w:rPr>
          <w:color w:val="1d1c1d"/>
          <w:sz w:val="24"/>
          <w:szCs w:val="24"/>
          <w:highlight w:val="white"/>
          <w:rtl w:val="0"/>
        </w:rPr>
        <w:t xml:space="preserve">Videos of how a genital examination is done with an orchidometer, so that users can partially replicate the process</w:t>
      </w:r>
    </w:p>
    <w:p w:rsidR="00000000" w:rsidDel="00000000" w:rsidP="00000000" w:rsidRDefault="00000000" w:rsidRPr="00000000" w14:paraId="00000031">
      <w:pPr>
        <w:numPr>
          <w:ilvl w:val="0"/>
          <w:numId w:val="3"/>
        </w:numPr>
        <w:ind w:left="720" w:hanging="360"/>
        <w:rPr>
          <w:color w:val="1d1c1d"/>
          <w:sz w:val="24"/>
          <w:szCs w:val="24"/>
          <w:highlight w:val="white"/>
          <w:u w:val="none"/>
        </w:rPr>
      </w:pPr>
      <w:r w:rsidDel="00000000" w:rsidR="00000000" w:rsidRPr="00000000">
        <w:rPr>
          <w:color w:val="1d1c1d"/>
          <w:sz w:val="24"/>
          <w:szCs w:val="24"/>
          <w:highlight w:val="white"/>
          <w:rtl w:val="0"/>
        </w:rPr>
        <w:t xml:space="preserve">QR codes for digital copies or for printing</w:t>
      </w:r>
      <w:r w:rsidDel="00000000" w:rsidR="00000000" w:rsidRPr="00000000">
        <w:rPr>
          <w:rtl w:val="0"/>
        </w:rPr>
      </w:r>
    </w:p>
    <w:p w:rsidR="00000000" w:rsidDel="00000000" w:rsidP="00000000" w:rsidRDefault="00000000" w:rsidRPr="00000000" w14:paraId="00000032">
      <w:pPr>
        <w:ind w:left="0" w:firstLine="0"/>
        <w:rPr>
          <w:b w:val="1"/>
          <w:color w:val="1d1c1d"/>
          <w:sz w:val="23"/>
          <w:szCs w:val="23"/>
          <w:highlight w:val="white"/>
        </w:rPr>
      </w:pPr>
      <w:r w:rsidDel="00000000" w:rsidR="00000000" w:rsidRPr="00000000">
        <w:rPr>
          <w:rtl w:val="0"/>
        </w:rPr>
      </w:r>
    </w:p>
    <w:p w:rsidR="00000000" w:rsidDel="00000000" w:rsidP="00000000" w:rsidRDefault="00000000" w:rsidRPr="00000000" w14:paraId="00000033">
      <w:pPr>
        <w:ind w:left="0" w:firstLine="0"/>
        <w:rPr>
          <w:b w:val="1"/>
          <w:color w:val="1d1c1d"/>
          <w:sz w:val="23"/>
          <w:szCs w:val="23"/>
          <w:highlight w:val="white"/>
        </w:rPr>
      </w:pPr>
      <w:r w:rsidDel="00000000" w:rsidR="00000000" w:rsidRPr="00000000">
        <w:rPr>
          <w:b w:val="1"/>
          <w:color w:val="1d1c1d"/>
          <w:sz w:val="23"/>
          <w:szCs w:val="23"/>
          <w:highlight w:val="white"/>
          <w:rtl w:val="0"/>
        </w:rPr>
        <w:t xml:space="preserve">Additional adjustments:</w:t>
      </w:r>
    </w:p>
    <w:p w:rsidR="00000000" w:rsidDel="00000000" w:rsidP="00000000" w:rsidRDefault="00000000" w:rsidRPr="00000000" w14:paraId="00000034">
      <w:pPr>
        <w:numPr>
          <w:ilvl w:val="0"/>
          <w:numId w:val="1"/>
        </w:numPr>
        <w:ind w:left="720" w:hanging="360"/>
        <w:rPr>
          <w:color w:val="1d1c1d"/>
          <w:sz w:val="23"/>
          <w:szCs w:val="23"/>
          <w:highlight w:val="white"/>
        </w:rPr>
      </w:pPr>
      <w:r w:rsidDel="00000000" w:rsidR="00000000" w:rsidRPr="00000000">
        <w:rPr>
          <w:color w:val="1d1c1d"/>
          <w:sz w:val="23"/>
          <w:szCs w:val="23"/>
          <w:highlight w:val="white"/>
          <w:rtl w:val="0"/>
        </w:rPr>
        <w:t xml:space="preserve">Could also provide objects of certain testicular size, that can be attached to physical copies of the infographic </w:t>
      </w:r>
    </w:p>
    <w:p w:rsidR="00000000" w:rsidDel="00000000" w:rsidP="00000000" w:rsidRDefault="00000000" w:rsidRPr="00000000" w14:paraId="00000035">
      <w:pPr>
        <w:numPr>
          <w:ilvl w:val="1"/>
          <w:numId w:val="1"/>
        </w:numPr>
        <w:ind w:left="1440" w:hanging="360"/>
        <w:rPr>
          <w:color w:val="1d1c1d"/>
          <w:sz w:val="23"/>
          <w:szCs w:val="23"/>
          <w:highlight w:val="white"/>
          <w:u w:val="none"/>
        </w:rPr>
      </w:pPr>
      <w:r w:rsidDel="00000000" w:rsidR="00000000" w:rsidRPr="00000000">
        <w:rPr>
          <w:color w:val="1d1c1d"/>
          <w:sz w:val="23"/>
          <w:szCs w:val="23"/>
          <w:highlight w:val="white"/>
          <w:rtl w:val="0"/>
        </w:rPr>
        <w:t xml:space="preserve">Could be mass printed in wood, 3D printing filament</w:t>
      </w:r>
    </w:p>
    <w:p w:rsidR="00000000" w:rsidDel="00000000" w:rsidP="00000000" w:rsidRDefault="00000000" w:rsidRPr="00000000" w14:paraId="00000036">
      <w:pPr>
        <w:numPr>
          <w:ilvl w:val="0"/>
          <w:numId w:val="1"/>
        </w:numPr>
        <w:ind w:left="720" w:hanging="360"/>
        <w:rPr>
          <w:color w:val="1d1c1d"/>
          <w:sz w:val="23"/>
          <w:szCs w:val="23"/>
          <w:highlight w:val="white"/>
          <w:u w:val="none"/>
        </w:rPr>
      </w:pPr>
      <w:r w:rsidDel="00000000" w:rsidR="00000000" w:rsidRPr="00000000">
        <w:rPr>
          <w:color w:val="1d1c1d"/>
          <w:sz w:val="23"/>
          <w:szCs w:val="23"/>
          <w:highlight w:val="white"/>
          <w:rtl w:val="0"/>
        </w:rPr>
        <w:t xml:space="preserve">Could even make the tool a video that is connected to the infographic</w:t>
      </w:r>
    </w:p>
    <w:p w:rsidR="00000000" w:rsidDel="00000000" w:rsidP="00000000" w:rsidRDefault="00000000" w:rsidRPr="00000000" w14:paraId="00000037">
      <w:pPr>
        <w:ind w:left="0" w:firstLine="0"/>
        <w:rPr>
          <w:b w:val="1"/>
          <w:color w:val="1d1c1d"/>
          <w:sz w:val="23"/>
          <w:szCs w:val="23"/>
          <w:highlight w:val="white"/>
        </w:rPr>
      </w:pPr>
      <w:r w:rsidDel="00000000" w:rsidR="00000000" w:rsidRPr="00000000">
        <w:rPr>
          <w:rtl w:val="0"/>
        </w:rPr>
      </w:r>
    </w:p>
    <w:p w:rsidR="00000000" w:rsidDel="00000000" w:rsidP="00000000" w:rsidRDefault="00000000" w:rsidRPr="00000000" w14:paraId="00000038">
      <w:pPr>
        <w:ind w:left="0" w:firstLine="0"/>
        <w:rPr>
          <w:b w:val="1"/>
          <w:color w:val="1d1c1d"/>
          <w:sz w:val="23"/>
          <w:szCs w:val="23"/>
          <w:highlight w:val="white"/>
        </w:rPr>
      </w:pPr>
      <w:r w:rsidDel="00000000" w:rsidR="00000000" w:rsidRPr="00000000">
        <w:rPr>
          <w:b w:val="1"/>
          <w:color w:val="1d1c1d"/>
          <w:sz w:val="23"/>
          <w:szCs w:val="23"/>
          <w:highlight w:val="white"/>
          <w:rtl w:val="0"/>
        </w:rPr>
        <w:t xml:space="preserve">Process of delivery:</w:t>
      </w:r>
    </w:p>
    <w:p w:rsidR="00000000" w:rsidDel="00000000" w:rsidP="00000000" w:rsidRDefault="00000000" w:rsidRPr="00000000" w14:paraId="00000039">
      <w:pPr>
        <w:numPr>
          <w:ilvl w:val="0"/>
          <w:numId w:val="2"/>
        </w:numPr>
        <w:ind w:left="720" w:hanging="360"/>
        <w:rPr>
          <w:color w:val="1d1c1d"/>
          <w:sz w:val="23"/>
          <w:szCs w:val="23"/>
          <w:highlight w:val="white"/>
        </w:rPr>
      </w:pPr>
      <w:r w:rsidDel="00000000" w:rsidR="00000000" w:rsidRPr="00000000">
        <w:rPr>
          <w:color w:val="1d1c1d"/>
          <w:sz w:val="23"/>
          <w:szCs w:val="23"/>
          <w:highlight w:val="white"/>
          <w:rtl w:val="0"/>
        </w:rPr>
        <w:t xml:space="preserve">Start with contacting potential partners like those highlighted above</w:t>
      </w:r>
    </w:p>
    <w:p w:rsidR="00000000" w:rsidDel="00000000" w:rsidP="00000000" w:rsidRDefault="00000000" w:rsidRPr="00000000" w14:paraId="0000003A">
      <w:pPr>
        <w:numPr>
          <w:ilvl w:val="0"/>
          <w:numId w:val="2"/>
        </w:numPr>
        <w:ind w:left="720" w:hanging="360"/>
        <w:rPr>
          <w:color w:val="1d1c1d"/>
          <w:sz w:val="23"/>
          <w:szCs w:val="23"/>
          <w:highlight w:val="white"/>
          <w:u w:val="none"/>
        </w:rPr>
      </w:pPr>
      <w:r w:rsidDel="00000000" w:rsidR="00000000" w:rsidRPr="00000000">
        <w:rPr>
          <w:color w:val="1d1c1d"/>
          <w:sz w:val="23"/>
          <w:szCs w:val="23"/>
          <w:highlight w:val="white"/>
          <w:rtl w:val="0"/>
        </w:rPr>
        <w:t xml:space="preserve">Could get recommendations of people to work with through those partners (graphic designers, data analysts)</w:t>
      </w:r>
    </w:p>
    <w:p w:rsidR="00000000" w:rsidDel="00000000" w:rsidP="00000000" w:rsidRDefault="00000000" w:rsidRPr="00000000" w14:paraId="0000003B">
      <w:pPr>
        <w:numPr>
          <w:ilvl w:val="0"/>
          <w:numId w:val="2"/>
        </w:numPr>
        <w:ind w:left="720" w:hanging="360"/>
        <w:rPr>
          <w:color w:val="1d1c1d"/>
          <w:sz w:val="23"/>
          <w:szCs w:val="23"/>
          <w:highlight w:val="white"/>
          <w:u w:val="none"/>
        </w:rPr>
      </w:pPr>
      <w:r w:rsidDel="00000000" w:rsidR="00000000" w:rsidRPr="00000000">
        <w:rPr>
          <w:color w:val="1d1c1d"/>
          <w:sz w:val="23"/>
          <w:szCs w:val="23"/>
          <w:highlight w:val="white"/>
          <w:rtl w:val="0"/>
        </w:rPr>
        <w:t xml:space="preserve">Assemble a draft of the required information to include on the infographic</w:t>
      </w:r>
      <w:r w:rsidDel="00000000" w:rsidR="00000000" w:rsidRPr="00000000">
        <w:rPr>
          <w:rtl w:val="0"/>
        </w:rPr>
      </w:r>
    </w:p>
    <w:p w:rsidR="00000000" w:rsidDel="00000000" w:rsidP="00000000" w:rsidRDefault="00000000" w:rsidRPr="00000000" w14:paraId="0000003C">
      <w:pPr>
        <w:rPr>
          <w:b w:val="1"/>
          <w:color w:val="1d1c1d"/>
          <w:sz w:val="23"/>
          <w:szCs w:val="23"/>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healthymale.org.au/" TargetMode="External"/><Relationship Id="rId7" Type="http://schemas.openxmlformats.org/officeDocument/2006/relationships/hyperlink" Target="https://axys.org.au/" TargetMode="External"/><Relationship Id="rId8" Type="http://schemas.openxmlformats.org/officeDocument/2006/relationships/hyperlink" Target="https://www.geneticalliance.org.au/conditions_detail.php?Klinefelter-Syndrome-47-XXY-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