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7.1061706542969" w:right="0" w:firstLine="0"/>
        <w:jc w:val="left"/>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JANUARY 2023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27001953125" w:line="240" w:lineRule="auto"/>
        <w:ind w:left="1407.1078491210938"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MONASH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60546875" w:line="240" w:lineRule="auto"/>
        <w:ind w:left="1408.3877563476562"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HEALTHCARE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60546875" w:line="240" w:lineRule="auto"/>
        <w:ind w:left="1405.1878356933594"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INNOVATION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19384765625" w:line="240" w:lineRule="auto"/>
        <w:ind w:left="1384.7077941894531"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SUMMER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19384765625" w:line="240" w:lineRule="auto"/>
        <w:ind w:left="1384.7077941894531"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SCHOLARSHIPS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5736083984375" w:line="240" w:lineRule="auto"/>
        <w:ind w:left="1402.5460815429688" w:right="0" w:firstLine="0"/>
        <w:jc w:val="left"/>
        <w:rPr>
          <w:rFonts w:ascii="Arial" w:cs="Arial" w:eastAsia="Arial" w:hAnsi="Arial"/>
          <w:b w:val="1"/>
          <w:i w:val="0"/>
          <w:smallCaps w:val="0"/>
          <w:strike w:val="0"/>
          <w:color w:val="000000"/>
          <w:sz w:val="56"/>
          <w:szCs w:val="56"/>
          <w:highlight w:val="black"/>
          <w:u w:val="none"/>
          <w:vertAlign w:val="baseline"/>
        </w:rPr>
      </w:pPr>
      <w:r w:rsidDel="00000000" w:rsidR="00000000" w:rsidRPr="00000000">
        <w:rPr>
          <w:rFonts w:ascii="Arial" w:cs="Arial" w:eastAsia="Arial" w:hAnsi="Arial"/>
          <w:b w:val="1"/>
          <w:i w:val="0"/>
          <w:smallCaps w:val="0"/>
          <w:strike w:val="0"/>
          <w:color w:val="000000"/>
          <w:sz w:val="56"/>
          <w:szCs w:val="56"/>
          <w:highlight w:val="black"/>
          <w:u w:val="none"/>
          <w:vertAlign w:val="baseline"/>
          <w:rtl w:val="0"/>
        </w:rPr>
        <w:t xml:space="preserve">Project Nephros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99.0362548828125" w:line="275.88955879211426" w:lineRule="auto"/>
        <w:ind w:left="633.3489608764648" w:right="2291.654052734375" w:hanging="3.2999801635742188"/>
        <w:jc w:val="left"/>
        <w:rPr>
          <w:rFonts w:ascii="Arial" w:cs="Arial" w:eastAsia="Arial" w:hAnsi="Arial"/>
          <w:b w:val="0"/>
          <w:i w:val="0"/>
          <w:smallCaps w:val="0"/>
          <w:strike w:val="0"/>
          <w:color w:val="000000"/>
          <w:sz w:val="30"/>
          <w:szCs w:val="30"/>
          <w:u w:val="none"/>
          <w:shd w:fill="auto" w:val="clear"/>
          <w:vertAlign w:val="baseline"/>
        </w:rPr>
      </w:pPr>
      <w:r w:rsidDel="00000000" w:rsidR="00000000" w:rsidRPr="00000000">
        <w:rPr>
          <w:rFonts w:ascii="Arial" w:cs="Arial" w:eastAsia="Arial" w:hAnsi="Arial"/>
          <w:b w:val="1"/>
          <w:i w:val="0"/>
          <w:smallCaps w:val="0"/>
          <w:strike w:val="0"/>
          <w:color w:val="000000"/>
          <w:sz w:val="30"/>
          <w:szCs w:val="30"/>
          <w:u w:val="none"/>
          <w:shd w:fill="auto" w:val="clear"/>
          <w:vertAlign w:val="baseline"/>
          <w:rtl w:val="0"/>
        </w:rPr>
        <w:t xml:space="preserve">Student Leads: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Upani Mapala-Gamage &amp; Nandini Pandya </w:t>
      </w:r>
      <w:r w:rsidDel="00000000" w:rsidR="00000000" w:rsidRPr="00000000">
        <w:rPr>
          <w:rFonts w:ascii="Arial" w:cs="Arial" w:eastAsia="Arial" w:hAnsi="Arial"/>
          <w:b w:val="1"/>
          <w:i w:val="0"/>
          <w:smallCaps w:val="0"/>
          <w:strike w:val="0"/>
          <w:color w:val="000000"/>
          <w:sz w:val="30"/>
          <w:szCs w:val="30"/>
          <w:u w:val="none"/>
          <w:shd w:fill="auto" w:val="clear"/>
          <w:vertAlign w:val="baseline"/>
          <w:rtl w:val="0"/>
        </w:rPr>
        <w:t xml:space="preserve">Clinical Champion: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Dr Jasamine Coles-Black  </w:t>
      </w:r>
      <w:r w:rsidDel="00000000" w:rsidR="00000000" w:rsidRPr="00000000">
        <w:drawing>
          <wp:anchor allowOverlap="1" behindDoc="0" distB="19050" distT="19050" distL="19050" distR="19050" hidden="0" layoutInCell="1" locked="0" relativeHeight="0" simplePos="0">
            <wp:simplePos x="0" y="0"/>
            <wp:positionH relativeFrom="column">
              <wp:posOffset>-383126</wp:posOffset>
            </wp:positionH>
            <wp:positionV relativeFrom="paragraph">
              <wp:posOffset>96895</wp:posOffset>
            </wp:positionV>
            <wp:extent cx="6858000" cy="1165600"/>
            <wp:effectExtent b="0" l="0" r="0" t="0"/>
            <wp:wrapSquare wrapText="bothSides" distB="19050" distT="19050" distL="19050" distR="19050"/>
            <wp:docPr id="8"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6858000" cy="1165600"/>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38162231445312" w:line="275.8893585205078" w:lineRule="auto"/>
        <w:ind w:left="641.448974609375" w:right="853.2489013671875" w:hanging="22.20001220703125"/>
        <w:jc w:val="left"/>
        <w:rPr>
          <w:rFonts w:ascii="Arial" w:cs="Arial" w:eastAsia="Arial" w:hAnsi="Arial"/>
          <w:b w:val="0"/>
          <w:i w:val="0"/>
          <w:smallCaps w:val="0"/>
          <w:strike w:val="0"/>
          <w:color w:val="000000"/>
          <w:sz w:val="30"/>
          <w:szCs w:val="30"/>
          <w:u w:val="none"/>
          <w:shd w:fill="auto" w:val="clear"/>
          <w:vertAlign w:val="baseline"/>
        </w:rPr>
      </w:pPr>
      <w:r w:rsidDel="00000000" w:rsidR="00000000" w:rsidRPr="00000000">
        <w:rPr>
          <w:rFonts w:ascii="Arial" w:cs="Arial" w:eastAsia="Arial" w:hAnsi="Arial"/>
          <w:b w:val="1"/>
          <w:i w:val="0"/>
          <w:smallCaps w:val="0"/>
          <w:strike w:val="0"/>
          <w:color w:val="000000"/>
          <w:sz w:val="30"/>
          <w:szCs w:val="30"/>
          <w:u w:val="none"/>
          <w:shd w:fill="auto" w:val="clear"/>
          <w:vertAlign w:val="baseline"/>
          <w:rtl w:val="0"/>
        </w:rPr>
        <w:t xml:space="preserve">Affiliations: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Monash Institute of Medical Engineering, Monash Young  Medtech Innovators, Austin Health, Monash Partners.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3.4014892578125" w:right="0" w:firstLine="0"/>
        <w:jc w:val="left"/>
        <w:rPr>
          <w:rFonts w:ascii="Arial" w:cs="Arial" w:eastAsia="Arial" w:hAnsi="Arial"/>
          <w:b w:val="1"/>
          <w:i w:val="0"/>
          <w:smallCaps w:val="0"/>
          <w:strike w:val="0"/>
          <w:color w:val="000000"/>
          <w:sz w:val="80"/>
          <w:szCs w:val="80"/>
          <w:u w:val="none"/>
          <w:shd w:fill="auto" w:val="clear"/>
          <w:vertAlign w:val="baseline"/>
        </w:rPr>
      </w:pPr>
      <w:r w:rsidDel="00000000" w:rsidR="00000000" w:rsidRPr="00000000">
        <w:rPr>
          <w:rFonts w:ascii="Arial" w:cs="Arial" w:eastAsia="Arial" w:hAnsi="Arial"/>
          <w:b w:val="1"/>
          <w:i w:val="0"/>
          <w:smallCaps w:val="0"/>
          <w:strike w:val="0"/>
          <w:color w:val="000000"/>
          <w:sz w:val="80"/>
          <w:szCs w:val="80"/>
          <w:u w:val="none"/>
          <w:shd w:fill="auto" w:val="clear"/>
          <w:vertAlign w:val="baseline"/>
          <w:rtl w:val="0"/>
        </w:rPr>
        <w:t xml:space="preserve">Executive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9892578125" w:line="240" w:lineRule="auto"/>
        <w:ind w:left="1043.801498413086" w:right="0" w:firstLine="0"/>
        <w:jc w:val="left"/>
        <w:rPr>
          <w:rFonts w:ascii="Arial" w:cs="Arial" w:eastAsia="Arial" w:hAnsi="Arial"/>
          <w:b w:val="1"/>
          <w:i w:val="0"/>
          <w:smallCaps w:val="0"/>
          <w:strike w:val="0"/>
          <w:color w:val="000000"/>
          <w:sz w:val="80"/>
          <w:szCs w:val="80"/>
          <w:u w:val="none"/>
          <w:shd w:fill="auto" w:val="clear"/>
          <w:vertAlign w:val="baseline"/>
        </w:rPr>
      </w:pPr>
      <w:r w:rsidDel="00000000" w:rsidR="00000000" w:rsidRPr="00000000">
        <w:rPr>
          <w:rFonts w:ascii="Arial" w:cs="Arial" w:eastAsia="Arial" w:hAnsi="Arial"/>
          <w:b w:val="1"/>
          <w:i w:val="0"/>
          <w:smallCaps w:val="0"/>
          <w:strike w:val="0"/>
          <w:color w:val="000000"/>
          <w:sz w:val="80"/>
          <w:szCs w:val="80"/>
          <w:u w:val="none"/>
          <w:shd w:fill="auto" w:val="clear"/>
          <w:vertAlign w:val="baseline"/>
          <w:rtl w:val="0"/>
        </w:rPr>
        <w:t xml:space="preserve">Summary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554443359375" w:line="239.903826713562" w:lineRule="auto"/>
        <w:ind w:left="1019.3199920654297" w:right="844.91943359375" w:firstLine="14.1600036621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Percutaneous Nephrolithotomy (PCNL) is the procedure of choice for large and  complex kidney stones. A significant issue is that the procedure has a steep  learning curve and depends on surgeon expertise to determine the angle and  trajectory of puncture from the initial patient imaging and free hand the puncture;  this puncture is guided by relatively low resolution x-ray imaging. Due to this up to 1  in 10 patients will experience perioperative bleeding as well as risk of adjacent  organ injury. In addition, limited visualisation of the puncture mean that often  surgeons will need multiple punctures to reach the stone, thereby increasing risk of  bleeding and complications.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2353515625" w:line="240" w:lineRule="auto"/>
        <w:ind w:left="1020.520019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outcomes we want to achieve: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250.919036865234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Reduced blood loss and blood transfusion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250.919036865234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Reduced risk of adjacent organ injury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3115234375" w:line="240" w:lineRule="auto"/>
        <w:ind w:left="1250.919036865234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Reduced fragments of kidney stone that are retained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389823913574" w:lineRule="auto"/>
        <w:ind w:left="1250.9190368652344" w:right="2633.88000488281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Retained kidney function and decreased risk of organ failure ● Increased surgical confidence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239.90339756011963" w:lineRule="auto"/>
        <w:ind w:left="1030.8399963378906" w:right="1157.1575927734375" w:hanging="5.52001953125"/>
        <w:jc w:val="left"/>
        <w:rPr>
          <w:rFonts w:ascii="Arial" w:cs="Arial" w:eastAsia="Arial" w:hAnsi="Arial"/>
          <w:b w:val="1"/>
          <w:i w:val="0"/>
          <w:smallCaps w:val="0"/>
          <w:strike w:val="0"/>
          <w:color w:val="000000"/>
          <w:sz w:val="24"/>
          <w:szCs w:val="24"/>
          <w:highlight w:val="black"/>
          <w:u w:val="none"/>
          <w:vertAlign w:val="baseline"/>
        </w:rPr>
      </w:pPr>
      <w:r w:rsidDel="00000000" w:rsidR="00000000" w:rsidRPr="00000000">
        <w:rPr>
          <w:rFonts w:ascii="Arial" w:cs="Arial" w:eastAsia="Arial" w:hAnsi="Arial"/>
          <w:b w:val="1"/>
          <w:i w:val="0"/>
          <w:smallCaps w:val="0"/>
          <w:strike w:val="0"/>
          <w:color w:val="000000"/>
          <w:sz w:val="24"/>
          <w:szCs w:val="24"/>
          <w:highlight w:val="black"/>
          <w:u w:val="none"/>
          <w:vertAlign w:val="baseline"/>
          <w:rtl w:val="0"/>
        </w:rPr>
        <w:t xml:space="preserve">Our mission is to develop a tool to reduce the rate of complications caused by inaccurate puncturing during PCNL kidney stone removal surgery.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0.0347900390625" w:line="240" w:lineRule="auto"/>
        <w:ind w:left="1015" w:right="0" w:firstLine="0"/>
        <w:jc w:val="left"/>
        <w:rPr>
          <w:rFonts w:ascii="Arial" w:cs="Arial" w:eastAsia="Arial" w:hAnsi="Arial"/>
          <w:b w:val="1"/>
          <w:i w:val="0"/>
          <w:smallCaps w:val="0"/>
          <w:strike w:val="0"/>
          <w:color w:val="000000"/>
          <w:sz w:val="80"/>
          <w:szCs w:val="80"/>
          <w:highlight w:val="black"/>
          <w:u w:val="none"/>
          <w:vertAlign w:val="baseline"/>
        </w:rPr>
      </w:pPr>
      <w:r w:rsidDel="00000000" w:rsidR="00000000" w:rsidRPr="00000000">
        <w:rPr>
          <w:rFonts w:ascii="Arial" w:cs="Arial" w:eastAsia="Arial" w:hAnsi="Arial"/>
          <w:b w:val="1"/>
          <w:i w:val="0"/>
          <w:smallCaps w:val="0"/>
          <w:strike w:val="0"/>
          <w:color w:val="000000"/>
          <w:sz w:val="80"/>
          <w:szCs w:val="80"/>
          <w:highlight w:val="black"/>
          <w:u w:val="none"/>
          <w:vertAlign w:val="baseline"/>
          <w:rtl w:val="0"/>
        </w:rPr>
        <w:t xml:space="preserve">Acceptance Criteria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76251220703125" w:line="239.90389823913574" w:lineRule="auto"/>
        <w:ind w:left="1146.2004089355469" w:right="1578.4436035156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The solution will reduce the need for multiple punctures, hence reduce  bleeding, blood transfusion and damage to internal organs.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357421875" w:line="239.90398406982422" w:lineRule="auto"/>
        <w:ind w:left="1123.160400390625" w:right="1090.283203125" w:firstLine="3.84002685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The solution will be easily incorporated into the existing healthcare system  i.e surgeon and operating team training, private vs public uptake. 3. The solutions will allow surgeons to navigate real-time visuals of the kidney. 4. The solution will reduce operator dependency.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4724121094" w:line="239.9040412902832" w:lineRule="auto"/>
        <w:ind w:left="967.63671875" w:right="871.64306640625" w:hanging="4.5600128173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When screening for solutions, there was also an emphasis on utilising a high  resolution scan and/or reconstructed model which, as discussed in gaps analysis, is  already being done in some hospital settings. The solution also needed to improve  surgical planning of the optimal route of puncture.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6.2727355957031" w:line="240" w:lineRule="auto"/>
        <w:ind w:left="1133.9978790283203"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EXECUTIVE SUMMARY / PAGE 1</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3.3999633789062" w:right="0" w:firstLine="0"/>
        <w:jc w:val="left"/>
        <w:rPr>
          <w:rFonts w:ascii="Arial" w:cs="Arial" w:eastAsia="Arial" w:hAnsi="Arial"/>
          <w:b w:val="1"/>
          <w:i w:val="0"/>
          <w:smallCaps w:val="0"/>
          <w:strike w:val="0"/>
          <w:color w:val="000000"/>
          <w:sz w:val="80"/>
          <w:szCs w:val="80"/>
          <w:highlight w:val="black"/>
          <w:u w:val="none"/>
          <w:vertAlign w:val="baseline"/>
        </w:rPr>
        <w:sectPr>
          <w:pgSz w:h="15600" w:w="10800" w:orient="portrait"/>
          <w:pgMar w:bottom="110.31494140625" w:top="978.428955078125" w:left="0" w:right="0" w:header="0" w:footer="720"/>
          <w:pgNumType w:start="1"/>
        </w:sectPr>
      </w:pPr>
      <w:r w:rsidDel="00000000" w:rsidR="00000000" w:rsidRPr="00000000">
        <w:rPr>
          <w:rFonts w:ascii="Arial" w:cs="Arial" w:eastAsia="Arial" w:hAnsi="Arial"/>
          <w:b w:val="1"/>
          <w:i w:val="0"/>
          <w:smallCaps w:val="0"/>
          <w:strike w:val="0"/>
          <w:color w:val="000000"/>
          <w:sz w:val="80"/>
          <w:szCs w:val="80"/>
          <w:highlight w:val="black"/>
          <w:u w:val="none"/>
          <w:vertAlign w:val="baseline"/>
          <w:rtl w:val="0"/>
        </w:rPr>
        <w:t xml:space="preserve">Gaps analysis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759765625" w:line="259.0963554382324"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the most commonly used technique, fluoroscopy  provides real-time intra-operative visualisation. It,  however, provides poor-visibility of internal  structures (shown in figure 1) and involves  visualising a three dimensional anatomy on a two  dimensional screen [1].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904052734375" w:line="259.0963554382324"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proper access is the gateway to success and is  the crucial step that has the steepest learning curve  [1]. The puncture technique may vary between  surgeons.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15510368347168"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type w:val="continuous"/>
          <w:pgSz w:h="15600" w:w="10800" w:orient="portrait"/>
          <w:pgMar w:bottom="110.31494140625" w:top="978.428955078125" w:left="1015" w:right="819.8858642578125" w:header="0" w:footer="720"/>
          <w:cols w:equalWidth="0" w:num="2">
            <w:col w:space="0" w:w="4500"/>
            <w:col w:space="0" w:w="450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960050" cy="1949425"/>
            <wp:effectExtent b="0" l="0" r="0" t="0"/>
            <wp:docPr id="10"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1960050" cy="1949425"/>
                    </a:xfrm>
                    <a:prstGeom prst="rect"/>
                    <a:ln/>
                  </pic:spPr>
                </pic:pic>
              </a:graphicData>
            </a:graphic>
          </wp:inline>
        </w:drawing>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Figure 1: Real-time fluoroscopic  imaging of the kidney as can be  seen by the surgical team during  PCNL surgery</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744140625" w:line="240" w:lineRule="auto"/>
        <w:ind w:left="891.6999053955078" w:right="0" w:firstLine="0"/>
        <w:jc w:val="left"/>
        <w:rPr>
          <w:rFonts w:ascii="Arial" w:cs="Arial" w:eastAsia="Arial" w:hAnsi="Arial"/>
          <w:b w:val="1"/>
          <w:i w:val="0"/>
          <w:smallCaps w:val="0"/>
          <w:strike w:val="0"/>
          <w:color w:val="ffffff"/>
          <w:sz w:val="28"/>
          <w:szCs w:val="28"/>
          <w:u w:val="none"/>
          <w:shd w:fill="auto" w:val="clear"/>
          <w:vertAlign w:val="baseline"/>
        </w:rPr>
        <w:sectPr>
          <w:type w:val="continuous"/>
          <w:pgSz w:h="15600" w:w="10800" w:orient="portrait"/>
          <w:pgMar w:bottom="110.31494140625" w:top="978.428955078125" w:left="0" w:right="0" w:header="0" w:footer="720"/>
          <w:cols w:equalWidth="0" w:num="1">
            <w:col w:space="0" w:w="10800"/>
          </w:cols>
        </w:sectPr>
      </w:pPr>
      <w:r w:rsidDel="00000000" w:rsidR="00000000" w:rsidRPr="00000000">
        <w:rPr>
          <w:rFonts w:ascii="Arial" w:cs="Arial" w:eastAsia="Arial" w:hAnsi="Arial"/>
          <w:b w:val="1"/>
          <w:i w:val="0"/>
          <w:smallCaps w:val="0"/>
          <w:strike w:val="0"/>
          <w:color w:val="ffffff"/>
          <w:sz w:val="28"/>
          <w:szCs w:val="28"/>
          <w:u w:val="none"/>
          <w:shd w:fill="auto" w:val="clear"/>
          <w:vertAlign w:val="baseline"/>
          <w:rtl w:val="0"/>
        </w:rPr>
        <w:t xml:space="preserve">Existing Solutions/Techniques Gaps in Solutions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775634765625" w:line="239.9044132232666" w:lineRule="auto"/>
        <w:ind w:left="7.5" w:right="366.099853515625" w:hanging="0.480041503906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Three-dimensional reconstruction by  segmenting volumetric CT data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8157958984375" w:line="239.9040126800537" w:lineRule="auto"/>
        <w:ind w:left="0" w:right="0" w:firstLine="11.660003662109375"/>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Monash Urology has developed a technique using  3D visualisation to optimise the trajectory for  puncture. CT KUB data is segmented to  reconstruct the renal collecting system, stone  location and volume, renal parenchyma, lung  bases, overlying thoracic ribs and vertebrae. This  allows the shortest route of puncture to be  planned, guiding the access point and access  angle from the skin. [2]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555908203125" w:line="240" w:lineRule="auto"/>
        <w:ind w:left="19.25994873046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Ultrasound guided puncture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719970703125" w:line="239.9040126800537" w:lineRule="auto"/>
        <w:ind w:left="9.239959716796875" w:right="0" w:firstLine="14.080047607421875"/>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Ultrasound guided renal access is an alternative  to fluoroscopic visualisation that is currently  employed in few PCNL cases. It is low-cost and  no radiation alternative to real-time fluoroscopic  visualisation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4789428710938" w:line="240" w:lineRule="auto"/>
        <w:ind w:left="13.25996398925781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Changing puncture technique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7201232910156" w:line="239.90398406982422" w:lineRule="auto"/>
        <w:ind w:left="11.660003662109375" w:right="0" w:firstLine="17.819976806640625"/>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The way in which the surgeon determines the  angle and trajectory of the puncture can be  changed. The surgery set up can be modified to  accommodate this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493.0096435546875" w:right="100.670166015625" w:hanging="0.9594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While Monash Urology and other  group in literature [3] have used 3D  reconstructions to cognitively plan  PCNL, automation of this process is  yet to occur. Without automation, it is  unlikely that surgeons in practice will  learn new software and spend 30-45  minutes (in addition to the current  preoperative procedure) modeling the  patient’s abdomen.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0244140625" w:line="239.90394115447998" w:lineRule="auto"/>
        <w:ind w:left="497.569580078125" w:right="21.95068359375" w:firstLine="3.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Some data demonstrates that there is  no significant difference between  ultrasonographic and fluoroscopic  guided access PCNL [4]. It poses the  same issue of two dimensional view of  anatomy and does not decrease the  learning curve or reduce dependency  on surgeon expertise.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4757080078125" w:line="239.9040126800537" w:lineRule="auto"/>
        <w:ind w:left="494.449462890625" w:right="194.510498046875" w:firstLine="6.4801025390625"/>
        <w:jc w:val="lef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110.31494140625" w:top="978.428955078125" w:left="869.2799377441406" w:right="592.6708984375" w:header="0" w:footer="720"/>
          <w:cols w:equalWidth="0" w:num="2">
            <w:col w:space="0" w:w="4680"/>
            <w:col w:space="0" w:w="468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Studies comparing the “Bull’s eye”  technique with the “triangulation”  technique [5] produced no significant  difference between complication rate  (20% vs 15%)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5.267333984375" w:line="240" w:lineRule="auto"/>
        <w:ind w:left="1460.25573730468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GAPS ANALYSIS / PAGE 2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3.801498413086" w:right="0" w:firstLine="0"/>
        <w:jc w:val="left"/>
        <w:rPr>
          <w:rFonts w:ascii="Arial" w:cs="Arial" w:eastAsia="Arial" w:hAnsi="Arial"/>
          <w:b w:val="1"/>
          <w:i w:val="0"/>
          <w:smallCaps w:val="0"/>
          <w:strike w:val="0"/>
          <w:color w:val="000000"/>
          <w:sz w:val="80"/>
          <w:szCs w:val="80"/>
          <w:highlight w:val="black"/>
          <w:u w:val="none"/>
          <w:vertAlign w:val="baseline"/>
        </w:rPr>
      </w:pPr>
      <w:r w:rsidDel="00000000" w:rsidR="00000000" w:rsidRPr="00000000">
        <w:rPr>
          <w:rFonts w:ascii="Arial" w:cs="Arial" w:eastAsia="Arial" w:hAnsi="Arial"/>
          <w:b w:val="1"/>
          <w:i w:val="0"/>
          <w:smallCaps w:val="0"/>
          <w:strike w:val="0"/>
          <w:color w:val="000000"/>
          <w:sz w:val="80"/>
          <w:szCs w:val="80"/>
          <w:highlight w:val="black"/>
          <w:u w:val="none"/>
          <w:vertAlign w:val="baseline"/>
          <w:rtl w:val="0"/>
        </w:rPr>
        <w:t xml:space="preserve">Systems Map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642578125" w:line="240" w:lineRule="auto"/>
        <w:ind w:left="0" w:right="0" w:firstLine="0"/>
        <w:jc w:val="center"/>
        <w:rPr>
          <w:rFonts w:ascii="Arial" w:cs="Arial" w:eastAsia="Arial" w:hAnsi="Arial"/>
          <w:b w:val="1"/>
          <w:i w:val="0"/>
          <w:smallCaps w:val="0"/>
          <w:strike w:val="0"/>
          <w:color w:val="000000"/>
          <w:sz w:val="80"/>
          <w:szCs w:val="80"/>
          <w:highlight w:val="black"/>
          <w:u w:val="none"/>
          <w:vertAlign w:val="baseline"/>
        </w:rPr>
      </w:pPr>
      <w:r w:rsidDel="00000000" w:rsidR="00000000" w:rsidRPr="00000000">
        <w:rPr>
          <w:rFonts w:ascii="Arial" w:cs="Arial" w:eastAsia="Arial" w:hAnsi="Arial"/>
          <w:b w:val="1"/>
          <w:i w:val="0"/>
          <w:smallCaps w:val="0"/>
          <w:strike w:val="0"/>
          <w:color w:val="000000"/>
          <w:sz w:val="80"/>
          <w:szCs w:val="80"/>
          <w:highlight w:val="black"/>
          <w:u w:val="none"/>
          <w:vertAlign w:val="baseline"/>
        </w:rPr>
        <w:drawing>
          <wp:inline distB="19050" distT="19050" distL="19050" distR="19050">
            <wp:extent cx="6705602" cy="4387452"/>
            <wp:effectExtent b="0" l="0" r="0" t="0"/>
            <wp:docPr id="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705602" cy="4387452"/>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5559539795" w:lineRule="auto"/>
        <w:ind w:left="996.2097930908203" w:right="525.550537109375" w:firstLine="15.3600311279296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Figure 2: This is a systems map summarizing the current procedure and where the key  issues arise. Due to difficulty in stone access and poor visualisation of puncture  trajectory, the rate of complications for the procedure depends on the expertise of the  surgeon conducting it. Project Nephros attempts make the surgery easier for surgeons  to conduct and gain proper access to the stone; i.e. reduce the number of punctures it  takes thereby reducing bleeding and complications.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8.7930297851562" w:line="240" w:lineRule="auto"/>
        <w:ind w:left="1543.1611633300781"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SYSTEMS MAP / PAGE 3</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3.801498413086" w:right="0" w:firstLine="0"/>
        <w:jc w:val="left"/>
        <w:rPr>
          <w:rFonts w:ascii="Arial" w:cs="Arial" w:eastAsia="Arial" w:hAnsi="Arial"/>
          <w:b w:val="1"/>
          <w:i w:val="0"/>
          <w:smallCaps w:val="0"/>
          <w:strike w:val="0"/>
          <w:color w:val="000000"/>
          <w:sz w:val="80"/>
          <w:szCs w:val="80"/>
          <w:highlight w:val="black"/>
          <w:u w:val="none"/>
          <w:vertAlign w:val="baseline"/>
        </w:rPr>
      </w:pPr>
      <w:r w:rsidDel="00000000" w:rsidR="00000000" w:rsidRPr="00000000">
        <w:rPr>
          <w:rFonts w:ascii="Arial" w:cs="Arial" w:eastAsia="Arial" w:hAnsi="Arial"/>
          <w:b w:val="1"/>
          <w:i w:val="0"/>
          <w:smallCaps w:val="0"/>
          <w:strike w:val="0"/>
          <w:color w:val="000000"/>
          <w:sz w:val="80"/>
          <w:szCs w:val="80"/>
          <w:highlight w:val="black"/>
          <w:u w:val="none"/>
          <w:vertAlign w:val="baseline"/>
          <w:rtl w:val="0"/>
        </w:rPr>
        <w:t xml:space="preserve">Stakeholder Map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40.78125" w:line="240" w:lineRule="auto"/>
        <w:ind w:left="737.632751464843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Figure 3: Stakeholder Map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389823913574" w:lineRule="auto"/>
        <w:ind w:left="733.792724609375" w:right="1381.72607421875" w:firstLine="2.6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Depicts the range of stakeholders and the position they hold in terms of the direct  influence they have on the project, and the impact the project will have on them.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239.90389823913574" w:lineRule="auto"/>
        <w:ind w:left="733.5527038574219" w:right="1180.126953125" w:hanging="4.799957275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Stakeholders have been categorised into: regulatory bodies (nation wide and at the  hospital level), possible sources of funding, industry, competitors and HISS/MYMI  related.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54052734375" w:line="239.90379810333252" w:lineRule="auto"/>
        <w:ind w:left="718.6727142333984" w:right="664.3023681640625" w:firstLine="4.8000335693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project’s clinician champion Jas is largely responsible for the navigation of the  development of the solution. She has first hand experience of the difficulties and gaps  within kidney stone surgery and PCNL and therefore will advise many of the steps taken  towards the solution. Other clinicians, hospital staff, academics and engineers will also  pull the trajectory of the project in the early stages. Regulatory bodies such as the TGA  will move to become higher in influence as the project progresses. The competitors that  can be found in the map only develop similar guidance systems or modeling  techniques, however none that can be easily used for our purposes of PCNL surgery.  How far the project can progress will depend on the expertise we manage to gather,  both from a medial and technical/engineering standpoint as well as infunding to  prototype.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2.4252319335938" w:line="240" w:lineRule="auto"/>
        <w:ind w:left="1239.9698638916016"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STAKEHOLDER MAP / PAGE 4</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2.5199890136719"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Outcomes of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19384765625" w:line="240" w:lineRule="auto"/>
        <w:ind w:left="1042.5199890136719"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Qualitative and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60546875" w:line="240" w:lineRule="auto"/>
        <w:ind w:left="1042.5199890136719"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Quantitative Research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128173828125" w:line="240" w:lineRule="auto"/>
        <w:ind w:left="959.9215698242188" w:right="0" w:firstLine="0"/>
        <w:jc w:val="left"/>
        <w:rPr>
          <w:rFonts w:ascii="Arial" w:cs="Arial" w:eastAsia="Arial" w:hAnsi="Arial"/>
          <w:b w:val="1"/>
          <w:i w:val="0"/>
          <w:smallCaps w:val="0"/>
          <w:strike w:val="0"/>
          <w:color w:val="ed7d31"/>
          <w:sz w:val="24"/>
          <w:szCs w:val="24"/>
          <w:u w:val="none"/>
          <w:shd w:fill="auto" w:val="clear"/>
          <w:vertAlign w:val="baseline"/>
        </w:rPr>
      </w:pPr>
      <w:r w:rsidDel="00000000" w:rsidR="00000000" w:rsidRPr="00000000">
        <w:rPr>
          <w:rFonts w:ascii="Arial" w:cs="Arial" w:eastAsia="Arial" w:hAnsi="Arial"/>
          <w:b w:val="1"/>
          <w:i w:val="0"/>
          <w:smallCaps w:val="0"/>
          <w:strike w:val="0"/>
          <w:color w:val="ed7d31"/>
          <w:sz w:val="24"/>
          <w:szCs w:val="24"/>
          <w:u w:val="none"/>
          <w:shd w:fill="auto" w:val="clear"/>
          <w:vertAlign w:val="baseline"/>
          <w:rtl w:val="0"/>
        </w:rPr>
        <w:t xml:space="preserve">Background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39.90396976470947" w:lineRule="auto"/>
        <w:ind w:left="943.1215667724609" w:right="416.63818359375" w:firstLine="17.760009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Percutaneous nephrolithotomy (PCNL) is the procedure of choice for patients with  kidney stones larger than ~20mm [6], complex kidney anatomy or have stones that have  no responded to non-invasive treatment methods. The aim of the procedure is to  fragment stones in the kidney telescopically using a ~1-cm “keyhole” skin incision in the  patients back [7]. The kidney is punctured with a needle, under ultrasound or X-ray  (specifically fluoroscopy) guidance; and stretch up a ‘track’ into the kidney through  which a telescope can be passed [8]. The stone is broken up using a laser fibre, a  lithoclast (small pneumatic drill) or ultrasonic suction probe [8].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2353515625" w:line="239.90379810333252" w:lineRule="auto"/>
        <w:ind w:left="944.5616149902344" w:right="569.7589111328125" w:firstLine="16.31996154785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PCNL is performed under general anesthesia with the patient lying face down on their  abdomen. Choosing the correct imaging modality for kidney stones involves many  factors including the clinical setting, patient anatomy/build, cost, and tolerance of  ionising radiation. Multiple visualisation techniques are available but live-tracking of the  puncture during the surgery is limited to fluoroscopy and in some cases ultrasound,  usually if fluoroscopy is deemed inappropriate for the patient.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2353515625" w:line="239.90365505218506" w:lineRule="auto"/>
        <w:ind w:left="951.0415649414062" w:right="783.597412109375" w:firstLine="9.8400115966796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Preoperative imaging is required before instrumentation. In most cases, non-contrast  computed tomography (CT scan) can be performed as the cross-sectional imaging  allows evaluation of the stone burden and renal anatomy, nearby organs and body  habitus in relation to the kidney [9]. CT scans are used to plan the surgery including  puncture angle and trajectory.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845703125" w:line="240" w:lineRule="auto"/>
        <w:ind w:left="953.6815643310547" w:right="0" w:firstLine="0"/>
        <w:jc w:val="left"/>
        <w:rPr>
          <w:rFonts w:ascii="Arial" w:cs="Arial" w:eastAsia="Arial" w:hAnsi="Arial"/>
          <w:b w:val="1"/>
          <w:i w:val="0"/>
          <w:smallCaps w:val="0"/>
          <w:strike w:val="0"/>
          <w:color w:val="ed7d31"/>
          <w:sz w:val="24"/>
          <w:szCs w:val="24"/>
          <w:u w:val="none"/>
          <w:shd w:fill="auto" w:val="clear"/>
          <w:vertAlign w:val="baseline"/>
        </w:rPr>
      </w:pPr>
      <w:r w:rsidDel="00000000" w:rsidR="00000000" w:rsidRPr="00000000">
        <w:rPr>
          <w:rFonts w:ascii="Arial" w:cs="Arial" w:eastAsia="Arial" w:hAnsi="Arial"/>
          <w:b w:val="1"/>
          <w:i w:val="0"/>
          <w:smallCaps w:val="0"/>
          <w:strike w:val="0"/>
          <w:color w:val="ed7d31"/>
          <w:sz w:val="24"/>
          <w:szCs w:val="24"/>
          <w:u w:val="none"/>
          <w:shd w:fill="auto" w:val="clear"/>
          <w:vertAlign w:val="baseline"/>
          <w:rtl w:val="0"/>
        </w:rPr>
        <w:t xml:space="preserve">Clinical Gaps and Needs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3115234375" w:line="239.9040126800537" w:lineRule="auto"/>
        <w:ind w:left="949.8416137695312" w:right="481.436767578125" w:firstLine="2.399978637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“Despite being one of the main endoscopic procedures for managing stones, PCNL  remains a difficult procedure with a long period of learning” [10]. The surgery requires  surgeon experience to determine the angle and trajectory of puncture from the initial CT  scans. The puncture technique itself relies heavily on surgeon expertise therefore  complications and number of punctures required to access the stone varies from  surgeon to surgeon.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239.9044132232666" w:lineRule="auto"/>
        <w:ind w:left="943.1215667724609" w:right="556.077880859375" w:firstLine="17.760009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Poor stone visualisation prior to and during the PCNL cause inaccurate puncturing  which increases the chance of damaging adjacent organs and structures. Furthermore,  if the puncture trajectory is unable to gain proper access to the stone, then additional  punctures would be required which will increase patient bleeding and risk of needing a  blood transfusion. It should be noted that in some cases multiple punctures will be  required to retrieve the entire stone or multiple stones.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3.3908081054688" w:line="240" w:lineRule="auto"/>
        <w:ind w:left="313.5203552246094"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QUALITATIVE AND QUANTITATIVE RESEARCH /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017395019531" w:line="240" w:lineRule="auto"/>
        <w:ind w:left="2441.034240722656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PAGE 5</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2.5215148925781"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Outcomes of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19384765625" w:line="240" w:lineRule="auto"/>
        <w:ind w:left="1042.5215148925781"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Qualitative and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60546875" w:line="240" w:lineRule="auto"/>
        <w:ind w:left="1042.5215148925781"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Quantitative Research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94189453125" w:line="240" w:lineRule="auto"/>
        <w:ind w:left="1072.598648071289" w:right="0" w:firstLine="0"/>
        <w:jc w:val="left"/>
        <w:rPr>
          <w:rFonts w:ascii="Arial" w:cs="Arial" w:eastAsia="Arial" w:hAnsi="Arial"/>
          <w:b w:val="1"/>
          <w:i w:val="0"/>
          <w:smallCaps w:val="0"/>
          <w:strike w:val="0"/>
          <w:color w:val="ed7d31"/>
          <w:sz w:val="24"/>
          <w:szCs w:val="24"/>
          <w:highlight w:val="black"/>
          <w:u w:val="none"/>
          <w:vertAlign w:val="baseline"/>
        </w:rPr>
      </w:pPr>
      <w:r w:rsidDel="00000000" w:rsidR="00000000" w:rsidRPr="00000000">
        <w:rPr>
          <w:rFonts w:ascii="Arial" w:cs="Arial" w:eastAsia="Arial" w:hAnsi="Arial"/>
          <w:b w:val="1"/>
          <w:i w:val="0"/>
          <w:smallCaps w:val="0"/>
          <w:strike w:val="0"/>
          <w:color w:val="ed7d31"/>
          <w:sz w:val="24"/>
          <w:szCs w:val="24"/>
          <w:highlight w:val="black"/>
          <w:u w:val="none"/>
          <w:vertAlign w:val="baseline"/>
          <w:rtl w:val="0"/>
        </w:rPr>
        <w:t xml:space="preserve">Health Outcomes and Risks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93310546875" w:line="240" w:lineRule="auto"/>
        <w:ind w:left="1676.6143798828125" w:right="0" w:firstLine="0"/>
        <w:jc w:val="left"/>
        <w:rPr>
          <w:rFonts w:ascii="Arial" w:cs="Arial" w:eastAsia="Arial" w:hAnsi="Arial"/>
          <w:b w:val="1"/>
          <w:i w:val="0"/>
          <w:smallCaps w:val="0"/>
          <w:strike w:val="0"/>
          <w:color w:val="000000"/>
          <w:sz w:val="24"/>
          <w:szCs w:val="24"/>
          <w:highlight w:val="black"/>
          <w:u w:val="none"/>
          <w:vertAlign w:val="baseline"/>
        </w:rPr>
      </w:pPr>
      <w:r w:rsidDel="00000000" w:rsidR="00000000" w:rsidRPr="00000000">
        <w:rPr>
          <w:rFonts w:ascii="Arial" w:cs="Arial" w:eastAsia="Arial" w:hAnsi="Arial"/>
          <w:b w:val="1"/>
          <w:i w:val="0"/>
          <w:smallCaps w:val="0"/>
          <w:strike w:val="0"/>
          <w:color w:val="000000"/>
          <w:sz w:val="24"/>
          <w:szCs w:val="24"/>
          <w:highlight w:val="black"/>
          <w:u w:val="none"/>
          <w:vertAlign w:val="baseline"/>
          <w:rtl w:val="0"/>
        </w:rPr>
        <w:t xml:space="preserve">Perioperative bleeding rates of up to 10%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1676.8544006347656" w:right="0" w:firstLine="0"/>
        <w:jc w:val="left"/>
        <w:rPr>
          <w:rFonts w:ascii="Arial" w:cs="Arial" w:eastAsia="Arial" w:hAnsi="Arial"/>
          <w:b w:val="0"/>
          <w:i w:val="0"/>
          <w:smallCaps w:val="0"/>
          <w:strike w:val="0"/>
          <w:color w:val="000000"/>
          <w:sz w:val="24"/>
          <w:szCs w:val="24"/>
          <w:highlight w:val="black"/>
          <w:u w:val="none"/>
          <w:vertAlign w:val="baseline"/>
        </w:rPr>
      </w:pPr>
      <w:r w:rsidDel="00000000" w:rsidR="00000000" w:rsidRPr="00000000">
        <w:rPr>
          <w:rFonts w:ascii="Arial" w:cs="Arial" w:eastAsia="Arial" w:hAnsi="Arial"/>
          <w:b w:val="0"/>
          <w:i w:val="0"/>
          <w:smallCaps w:val="0"/>
          <w:strike w:val="0"/>
          <w:color w:val="000000"/>
          <w:sz w:val="24"/>
          <w:szCs w:val="24"/>
          <w:highlight w:val="black"/>
          <w:u w:val="none"/>
          <w:vertAlign w:val="baseline"/>
          <w:rtl w:val="0"/>
        </w:rPr>
        <w:t xml:space="preserve">Morbid technique, due to difficulty in access to the stone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678.0543518066406" w:right="0" w:firstLine="0"/>
        <w:jc w:val="left"/>
        <w:rPr>
          <w:rFonts w:ascii="Arial" w:cs="Arial" w:eastAsia="Arial" w:hAnsi="Arial"/>
          <w:b w:val="0"/>
          <w:i w:val="0"/>
          <w:smallCaps w:val="0"/>
          <w:strike w:val="0"/>
          <w:color w:val="000000"/>
          <w:sz w:val="24"/>
          <w:szCs w:val="24"/>
          <w:highlight w:val="black"/>
          <w:u w:val="none"/>
          <w:vertAlign w:val="baseline"/>
        </w:rPr>
      </w:pPr>
      <w:r w:rsidDel="00000000" w:rsidR="00000000" w:rsidRPr="00000000">
        <w:rPr>
          <w:rFonts w:ascii="Arial" w:cs="Arial" w:eastAsia="Arial" w:hAnsi="Arial"/>
          <w:b w:val="0"/>
          <w:i w:val="0"/>
          <w:smallCaps w:val="0"/>
          <w:strike w:val="0"/>
          <w:color w:val="000000"/>
          <w:sz w:val="24"/>
          <w:szCs w:val="24"/>
          <w:highlight w:val="black"/>
          <w:u w:val="none"/>
          <w:vertAlign w:val="baseline"/>
          <w:rtl w:val="0"/>
        </w:rPr>
        <w:t xml:space="preserve">Risk of blood transfusion 2-12% [7]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19189453125" w:line="240" w:lineRule="auto"/>
        <w:ind w:left="1676.854400634765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highlight w:val="black"/>
          <w:u w:val="none"/>
          <w:vertAlign w:val="baseline"/>
          <w:rtl w:val="0"/>
        </w:rPr>
        <w:t xml:space="preserve">Failure to remove stone of up to 10-20%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1677.574462890625" w:right="0" w:firstLine="0"/>
        <w:jc w:val="left"/>
        <w:rPr>
          <w:rFonts w:ascii="Arial" w:cs="Arial" w:eastAsia="Arial" w:hAnsi="Arial"/>
          <w:b w:val="0"/>
          <w:i w:val="0"/>
          <w:smallCaps w:val="0"/>
          <w:strike w:val="0"/>
          <w:color w:val="000000"/>
          <w:sz w:val="24"/>
          <w:szCs w:val="24"/>
          <w:highlight w:val="black"/>
          <w:u w:val="none"/>
          <w:vertAlign w:val="baseline"/>
        </w:rPr>
      </w:pPr>
      <w:r w:rsidDel="00000000" w:rsidR="00000000" w:rsidRPr="00000000">
        <w:rPr>
          <w:rFonts w:ascii="Arial" w:cs="Arial" w:eastAsia="Arial" w:hAnsi="Arial"/>
          <w:b w:val="0"/>
          <w:i w:val="0"/>
          <w:smallCaps w:val="0"/>
          <w:strike w:val="0"/>
          <w:color w:val="000000"/>
          <w:sz w:val="24"/>
          <w:szCs w:val="24"/>
          <w:highlight w:val="black"/>
          <w:u w:val="none"/>
          <w:vertAlign w:val="baseline"/>
          <w:rtl w:val="0"/>
        </w:rPr>
        <w:t xml:space="preserve">Due to difficulty in access, visualisation, size and hardness of stone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478515625" w:line="239.90411281585693" w:lineRule="auto"/>
        <w:ind w:left="1062.5202941894531" w:right="1243.079833984375" w:firstLine="14.8799896240234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It is difficult to quantify the exact complication rates as it is quite variant with  surgeon expertise. A 2022 study that looked into haemorrhagic complications in  percutaneous nephrolithotomy concluded that “as hemorrhagic complication in  PCNL is associated with considerable morbidity and mortality, prudent  intraoperative decision and postoperative care are necessary for its timely  prevention, detection, and management” [11].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0146484375" w:line="239.90389823913574" w:lineRule="auto"/>
        <w:ind w:left="1060.6002807617188" w:right="1025.400390625" w:hanging="1.92001342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stone clearance, success rate, of the PCNL procedure is 80-90% following  an initial surgery and 90-100% following a ‘’second-look” procedure [7]. Therefore  in a small portion of cases the procedure may need to be repeated or open  surgery may need to be conducted to retrieve the stone. Cases as such may  arise due to: the nature of the stone itself, whether it is too hard to laser or crush;  due to the stone being in a difficult position to access within the kidney without  doing significant damage to surroundings; or poor visualisation of the stone and  surroundings resulting in missing the stone too many times.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239.90376949310303" w:lineRule="auto"/>
        <w:ind w:left="1070.4402923583984" w:right="1616.99951171875" w:hanging="9.8400115966796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There is also risk of adjacent organ injury of the spleen, lungs, bowel and  unavoidable damage to the kidneys. When looking a potential solutions, it is  important to minimise these risks and damage to the kidneys.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31982421875" w:line="239.90389823913574" w:lineRule="auto"/>
        <w:ind w:left="1059.4002532958984" w:right="1200.35888671875" w:firstLine="7.20001220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Overall, complication rates for PCNL reportedly range from 20-83% [12] and the  true complications rates are difficult to determine and compare.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6593627929688" w:line="240" w:lineRule="auto"/>
        <w:ind w:left="313.519706726074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QUALITATIVE AND QUANTITATIVE RESEARCH /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017395019531" w:line="240" w:lineRule="auto"/>
        <w:ind w:left="2441.03332519531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PAGE 6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376949310303" w:lineRule="auto"/>
        <w:ind w:left="1061.0800170898438" w:right="4257.74658203125" w:hanging="23.040008544921875"/>
        <w:jc w:val="left"/>
        <w:rPr>
          <w:rFonts w:ascii="Arial" w:cs="Arial" w:eastAsia="Arial" w:hAnsi="Arial"/>
          <w:b w:val="1"/>
          <w:i w:val="0"/>
          <w:smallCaps w:val="0"/>
          <w:strike w:val="0"/>
          <w:color w:val="000000"/>
          <w:sz w:val="64"/>
          <w:szCs w:val="64"/>
          <w:u w:val="none"/>
          <w:shd w:fill="auto" w:val="clear"/>
          <w:vertAlign w:val="baseline"/>
        </w:rPr>
        <w:sectPr>
          <w:type w:val="continuous"/>
          <w:pgSz w:h="15600" w:w="10800" w:orient="portrait"/>
          <w:pgMar w:bottom="110.31494140625" w:top="978.428955078125" w:left="0" w:right="0" w:header="0" w:footer="720"/>
          <w:cols w:equalWidth="0" w:num="1">
            <w:col w:space="0" w:w="10800"/>
          </w:cols>
        </w:sect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Solution Concept  Discussion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706787109375"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Current Procedure +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Auto-segmented 3D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reconstruction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39.9039411544799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Monash Urology and other  groups in literature have explored  the possibility of utilising three  dimensional reconstruction of the  kidney to plan surgeries such as  PCNL [2][3]. Currently, with  manual reconstruction, a model  similar to the image in the top  right of figure 4 can be produced  to allow surgeons to better  visualise the location of the  stone. The CT scan in figure 4,  top left, is what is currently used  by the surgeon to guess the  puncture trajectory to the stone.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34342288970947" w:lineRule="auto"/>
        <w:ind w:left="0" w:right="0" w:firstLine="0"/>
        <w:jc w:val="lef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110.31494140625" w:top="978.428955078125" w:left="1024.6063232421875" w:right="338.26416015625" w:header="0" w:footer="720"/>
          <w:cols w:equalWidth="0" w:num="2">
            <w:col w:space="0" w:w="4720"/>
            <w:col w:space="0" w:w="472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3581402" cy="2953007"/>
            <wp:effectExtent b="0" l="0" r="0" t="0"/>
            <wp:docPr id="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581402" cy="2953007"/>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Figure 4: prototype of 3D reconstructive technology  using 3D-Slicer software depicting the various  segments of the kidney derived from CT scans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5675048828125" w:line="239.90415573120117" w:lineRule="auto"/>
        <w:ind w:left="946.317138671875" w:right="1083.0413818359375" w:firstLine="13.6800384521484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It is much easier to imagine a trajectory on the top right. If medical image could be  automatically segmented and reconstructed to increase operative efficiency and  reduce error.</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167236328125" w:line="239.90396976470947" w:lineRule="auto"/>
        <w:ind w:left="1028.9263153076172" w:right="834.832763671875" w:firstLine="4.3199920654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Stereotactic Guidance System + Auto-segmented 3D reconstruction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Stereotactic guidance in surgery is currently used within the nero and sinus fields to  assist with procedures such as biopsies. It is a technique which utilises a  three-dimensional coordinate system combined with an imaging technique, such as  CT or MRI, to precisely locate targets. It will assist alignment of the puncture from  the exterior and the surgeon will have to validate the position before inserting the  needle. If this system were to be developed alongside the automated 3D  reconstruction technique it will reduce much of the operator dependency that this  procedure currently has as the puncture trajectory can be validated using the  model.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93017578125" w:line="239.9037265777588" w:lineRule="auto"/>
        <w:ind w:left="1024.6063232421875" w:right="1112.9937744140625" w:hanging="4.3199920654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study with 400 patients conducted traditional PCNL surgery in half the patients  and conducted “stereotaxic localisation puncture and dilation procedures” (where  the distance and horizontal angle of the puncture </w:t>
      </w:r>
      <w:r w:rsidDel="00000000" w:rsidR="00000000" w:rsidRPr="00000000">
        <w:rPr>
          <w:rFonts w:ascii="Roboto" w:cs="Roboto" w:eastAsia="Roboto" w:hAnsi="Roboto"/>
          <w:b w:val="0"/>
          <w:i w:val="0"/>
          <w:smallCaps w:val="0"/>
          <w:strike w:val="0"/>
          <w:color w:val="212121"/>
          <w:sz w:val="24"/>
          <w:szCs w:val="24"/>
          <w:u w:val="none"/>
          <w:shd w:fill="010000" w:val="clear"/>
          <w:vertAlign w:val="baseline"/>
          <w:rtl w:val="0"/>
        </w:rPr>
        <w:t xml:space="preserve">pathway between the puncture</w:t>
      </w:r>
      <w:r w:rsidDel="00000000" w:rsidR="00000000" w:rsidRPr="00000000">
        <w:rPr>
          <w:rFonts w:ascii="Roboto" w:cs="Roboto" w:eastAsia="Roboto" w:hAnsi="Roboto"/>
          <w:b w:val="0"/>
          <w:i w:val="0"/>
          <w:smallCaps w:val="0"/>
          <w:strike w:val="0"/>
          <w:color w:val="212121"/>
          <w:sz w:val="24"/>
          <w:szCs w:val="24"/>
          <w:u w:val="none"/>
          <w:shd w:fill="auto" w:val="clear"/>
          <w:vertAlign w:val="baseline"/>
          <w:rtl w:val="0"/>
        </w:rPr>
        <w:t xml:space="preserve"> </w:t>
      </w:r>
      <w:r w:rsidDel="00000000" w:rsidR="00000000" w:rsidRPr="00000000">
        <w:rPr>
          <w:rFonts w:ascii="Roboto" w:cs="Roboto" w:eastAsia="Roboto" w:hAnsi="Roboto"/>
          <w:b w:val="0"/>
          <w:i w:val="0"/>
          <w:smallCaps w:val="0"/>
          <w:strike w:val="0"/>
          <w:color w:val="212121"/>
          <w:sz w:val="24"/>
          <w:szCs w:val="24"/>
          <w:u w:val="none"/>
          <w:shd w:fill="010000" w:val="clear"/>
          <w:vertAlign w:val="baseline"/>
          <w:rtl w:val="0"/>
        </w:rPr>
        <w:t xml:space="preserve">point and the target site were calculated accurately)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the other 200 under X-ray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899658203125" w:line="239.90376949310303" w:lineRule="auto"/>
        <w:ind w:left="1032.2863006591797" w:right="806.993408203125" w:hanging="0.9600067138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guidance [13]. It concluded that the cases requiring blood transfusion were 9 and 5  respectively and success rates for each puncture were 42.9% and 88% respectively  and that the stereotaxic localisation system was statistically better.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3998336791992" w:line="240" w:lineRule="auto"/>
        <w:ind w:left="1669.505920410156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SOLUTIONS / PAGE 7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2.3615264892578" w:right="0" w:firstLine="0"/>
        <w:jc w:val="left"/>
        <w:rPr>
          <w:rFonts w:ascii="Arial" w:cs="Arial" w:eastAsia="Arial" w:hAnsi="Arial"/>
          <w:b w:val="1"/>
          <w:i w:val="0"/>
          <w:smallCaps w:val="0"/>
          <w:strike w:val="0"/>
          <w:color w:val="000000"/>
          <w:sz w:val="64"/>
          <w:szCs w:val="64"/>
          <w:highlight w:val="black"/>
          <w:u w:val="none"/>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tl w:val="0"/>
        </w:rPr>
        <w:t xml:space="preserve">Final Concept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384521484375" w:line="239.90405559539795" w:lineRule="auto"/>
        <w:ind w:left="605.3436279296875" w:right="790.1763916015625" w:firstLine="7.20001220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Our solution is to improve puncture technique by developing a stereotactic guidance  system, essentially a way of precisely directing the tip of a needle using  three-dimensional coordinates based on medical imaging. Development of an automatic  3D visualisation technique to be used in combination with this system would be ideal.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189208984375" w:line="240" w:lineRule="auto"/>
        <w:ind w:left="609.663619995117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Stereotactic guidance system </w:t>
      </w:r>
      <w:r w:rsidDel="00000000" w:rsidR="00000000" w:rsidRPr="00000000">
        <w:drawing>
          <wp:anchor allowOverlap="1" behindDoc="0" distB="19050" distT="19050" distL="19050" distR="19050" hidden="0" layoutInCell="1" locked="0" relativeHeight="0" simplePos="0">
            <wp:simplePos x="0" y="0"/>
            <wp:positionH relativeFrom="column">
              <wp:posOffset>3358326</wp:posOffset>
            </wp:positionH>
            <wp:positionV relativeFrom="paragraph">
              <wp:posOffset>-60578</wp:posOffset>
            </wp:positionV>
            <wp:extent cx="2783875" cy="1974000"/>
            <wp:effectExtent b="0" l="0" r="0" t="0"/>
            <wp:wrapSquare wrapText="left" distB="19050" distT="19050" distL="19050" distR="19050"/>
            <wp:docPr id="4"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2783875" cy="1974000"/>
                    </a:xfrm>
                    <a:prstGeom prst="rect"/>
                    <a:ln/>
                  </pic:spPr>
                </pic:pic>
              </a:graphicData>
            </a:graphic>
          </wp:anchor>
        </w:drawing>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623.343620300293"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Implementation of the stereotactic guidance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608.463630676269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system will result in slight changes to the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608.463630676269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surgical workflow, however, is not expected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605.343627929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cause significant disruptions. Extra steps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608.943634033203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of placing fiducials on the skin surrounding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616.863632202148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puncture area, needle calibration and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616.863632202148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patient to image registration can be easily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616.863632202148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incorporated into the current workflow as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608.463630676269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shown below.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0767822265625" w:line="240" w:lineRule="auto"/>
        <w:ind w:left="0" w:right="446.771240234375" w:firstLine="0"/>
        <w:jc w:val="righ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110.31494140625" w:top="978.428955078125" w:left="0" w:right="0" w:header="0" w:footer="720"/>
          <w:cols w:equalWidth="0" w:num="1">
            <w:col w:space="0" w:w="1080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Figure 5: Fiducial Markers on a patient’s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385009765625"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Proposed Workflow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110.31494140625" w:top="978.428955078125" w:left="618.5436248779297" w:right="4201.09130859375" w:header="0" w:footer="720"/>
          <w:cols w:equalWidth="0" w:num="2">
            <w:col w:space="0" w:w="3000"/>
            <w:col w:space="0" w:w="300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back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345458984375" w:line="239.90389823913574" w:lineRule="auto"/>
        <w:ind w:left="1328.4635925292969" w:right="1577.0684814453125" w:hanging="548.63616943359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ed7d31"/>
          <w:sz w:val="24"/>
          <w:szCs w:val="24"/>
          <w:u w:val="none"/>
          <w:shd w:fill="auto" w:val="clear"/>
          <w:vertAlign w:val="baseline"/>
          <w:rtl w:val="0"/>
        </w:rPr>
        <w:t xml:space="preserve">1. Imaging Patient Preparation: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fiducial markers are placed on patient skin  surrounding the approximated puncture area.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39.90415573120117" w:lineRule="auto"/>
        <w:ind w:left="1326.5435791015625" w:right="715.5926513671875" w:hanging="559.67620849609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 Preoperative imaging: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preoperative CT scan with the fiducial markers is taken.  The precise location of the markers can be drawn onto the skin and the fiducials  are removed.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13671875" w:line="239.90405559539795" w:lineRule="auto"/>
        <w:ind w:left="765.4273986816406" w:right="684.3878173828125" w:firstLine="4.5600128173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 Surgical Planning: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planning is usually done prior to procedure using CT scans.  </w:t>
      </w:r>
      <w:r w:rsidDel="00000000" w:rsidR="00000000" w:rsidRPr="00000000">
        <w:rPr>
          <w:rFonts w:ascii="Arial" w:cs="Arial" w:eastAsia="Arial" w:hAnsi="Arial"/>
          <w:b w:val="0"/>
          <w:i w:val="0"/>
          <w:smallCaps w:val="0"/>
          <w:strike w:val="0"/>
          <w:color w:val="ed7d31"/>
          <w:sz w:val="24"/>
          <w:szCs w:val="24"/>
          <w:u w:val="none"/>
          <w:shd w:fill="auto" w:val="clear"/>
          <w:vertAlign w:val="baseline"/>
          <w:rtl w:val="0"/>
        </w:rPr>
        <w:t xml:space="preserve">New 3D reconstructed model could be used her to plan the procedure.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4. Patient Preparation: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Patient is placed in the final position and optical reference is  attached.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39.90389823913574" w:lineRule="auto"/>
        <w:ind w:left="770.9474182128906" w:right="664.9066162109375" w:firstLine="0.47996520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ed7d31"/>
          <w:sz w:val="24"/>
          <w:szCs w:val="24"/>
          <w:u w:val="none"/>
          <w:shd w:fill="auto" w:val="clear"/>
          <w:vertAlign w:val="baseline"/>
          <w:rtl w:val="0"/>
        </w:rPr>
        <w:t xml:space="preserve">5. Needle Calibration: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Calibrate based on placed fiducials and fixed bony landmarks </w:t>
      </w:r>
      <w:r w:rsidDel="00000000" w:rsidR="00000000" w:rsidRPr="00000000">
        <w:rPr>
          <w:rFonts w:ascii="Arial" w:cs="Arial" w:eastAsia="Arial" w:hAnsi="Arial"/>
          <w:b w:val="1"/>
          <w:i w:val="0"/>
          <w:smallCaps w:val="0"/>
          <w:strike w:val="0"/>
          <w:color w:val="ed7d31"/>
          <w:sz w:val="24"/>
          <w:szCs w:val="24"/>
          <w:u w:val="none"/>
          <w:shd w:fill="auto" w:val="clear"/>
          <w:vertAlign w:val="baseline"/>
          <w:rtl w:val="0"/>
        </w:rPr>
        <w:t xml:space="preserve">6. Patient to Image Registration: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establish correspondence between the surgical  scenario and planning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44189453125" w:line="239.903826713562" w:lineRule="auto"/>
        <w:ind w:left="770.7073974609375" w:right="630.1495361328125" w:firstLine="0.240020751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7. Needle Guidance: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needle is inserted using the real-time feedback provided by the  navigation system. </w:t>
      </w:r>
      <w:r w:rsidDel="00000000" w:rsidR="00000000" w:rsidRPr="00000000">
        <w:rPr>
          <w:rFonts w:ascii="Arial" w:cs="Arial" w:eastAsia="Arial" w:hAnsi="Arial"/>
          <w:b w:val="0"/>
          <w:i w:val="0"/>
          <w:smallCaps w:val="0"/>
          <w:strike w:val="0"/>
          <w:color w:val="ed7d31"/>
          <w:sz w:val="24"/>
          <w:szCs w:val="24"/>
          <w:u w:val="none"/>
          <w:shd w:fill="auto" w:val="clear"/>
          <w:vertAlign w:val="baseline"/>
          <w:rtl w:val="0"/>
        </w:rPr>
        <w:t xml:space="preserve">New 3D model would be implemented here for live-tracking.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8. Position Validation: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needle position is checked. </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The current method uses  fluoroscopy to guide the needle, however, since it is not needed anywhere else in the new  workflow we could validate needle position via endoscopy to check correct calyx is  punctured. This avoids the hassle of wearing lead protection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4814453125" w:line="240" w:lineRule="auto"/>
        <w:ind w:left="768.54736328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9. Stone Removal: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stone is removed as normal with a laser device or crushed.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197998046875" w:line="239.90389823913574" w:lineRule="auto"/>
        <w:ind w:left="605.3436279296875" w:right="699.4561767578125" w:firstLine="1.200027465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system will be classified as a Class IIa medical device and will need registration with  the Australian Register of Therapeutic Goods (ARTG).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93017578125" w:line="239.90365505218506" w:lineRule="auto"/>
        <w:ind w:left="616.3836288452148" w:right="1019.1351318359375" w:hanging="9.8399734497070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develop the automated 3D reconstruction will involve concepts of segmentation,  machine learning and target registration. Initially it will be used as a still 3D model and  later developed into a live-tracking system to use during surgery.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3474197387695" w:line="240" w:lineRule="auto"/>
        <w:ind w:left="953.3023834228516"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CHOSEN FINAL CONCEPT / PAGE 8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1.7214965820312" w:right="0" w:firstLine="0"/>
        <w:jc w:val="left"/>
        <w:rPr>
          <w:rFonts w:ascii="Arial" w:cs="Arial" w:eastAsia="Arial" w:hAnsi="Arial"/>
          <w:b w:val="1"/>
          <w:i w:val="0"/>
          <w:smallCaps w:val="0"/>
          <w:strike w:val="0"/>
          <w:color w:val="000000"/>
          <w:sz w:val="64"/>
          <w:szCs w:val="64"/>
          <w:highlight w:val="black"/>
          <w:u w:val="none"/>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tl w:val="0"/>
        </w:rPr>
        <w:t xml:space="preserve">Business Model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297607421875" w:line="239.90415573120117" w:lineRule="auto"/>
        <w:ind w:left="759.8416137695312" w:right="852.8778076171875" w:firstLine="3.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Stereotactic surgical systems will be brought by device reps on the day of surgery to  start with, until the service is established at which points the surgical system can be  rented or purchased when there is sufficient volume of cases. 24/7 device  representatives will be available on call for troubleshooting as expected in the medical  device industry.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239.90375518798828" w:lineRule="auto"/>
        <w:ind w:left="757.9216003417969" w:right="759.99755859375" w:hanging="1.92001342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business model will be a combination of the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sale of consumables/disposables  and capital equipment that comes with service and maintenance contracts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Our  solution is an updated workflow for PCNL surgery which will utilise an additional  intraoperative visualisation technique and stereotactic needle guidance system.  Generation of revenue will be via sale of proprietary single use sterile drapes, puncture  needles, dilators, wires, stereotactic cage etc as well as through service fees. Each  consumable used can be priced similar to competitors or made compatible with large  established competitors to sell out e.g. cook nephrostomy pneumatic dilation is $2000.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2353515625" w:line="239.9037265777588" w:lineRule="auto"/>
        <w:ind w:left="759.8416137695312" w:right="619.1168212890625" w:firstLine="14.8799896240234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It should be considered that the device will be Class IIa and will need ARTG registration.  Funds will also be required to run clinical trials, train surgical staff and operating room  specialists. Components of the system developed can be built to be compatible with  existing products for PCNL puncture for e.g. the Webb dilator.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239.90376949310303" w:lineRule="auto"/>
        <w:ind w:left="752.4015808105469" w:right="597.59033203125" w:firstLine="5.52001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device will fall under the existing medicare code 36543 for Nephrolithotomy.  Additionally, the technology can be used in other procedures that involve targeting of the  kidney including 36604, 36607, 36649, 36650. Once established, the technology can  also be used for enhanced visualisation and guidance for live tracking of puncture of  any solid organ, such as for biopsy or brachytherapy in addition to the kidney.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0.90576171875" w:line="240" w:lineRule="auto"/>
        <w:ind w:left="799.1230773925781" w:right="0" w:firstLine="0"/>
        <w:jc w:val="left"/>
        <w:rPr>
          <w:rFonts w:ascii="Arial" w:cs="Arial" w:eastAsia="Arial" w:hAnsi="Arial"/>
          <w:b w:val="1"/>
          <w:i w:val="0"/>
          <w:smallCaps w:val="0"/>
          <w:strike w:val="0"/>
          <w:color w:val="000000"/>
          <w:sz w:val="64"/>
          <w:szCs w:val="64"/>
          <w:highlight w:val="black"/>
          <w:u w:val="none"/>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tl w:val="0"/>
        </w:rPr>
        <w:t xml:space="preserve">Proposed KPIs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38604736328125" w:line="239.90394115447998" w:lineRule="auto"/>
        <w:ind w:left="754.5616149902344" w:right="653.1976318359375" w:firstLine="8.6399841308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Stereotactic guidance systems exist currently in hospitals within neuro and sinus to  improve the accuracy and stability of puncture therefore our solution can be expected to  fit within the KPIs. Improving the accuracy of puncture will reduce the number of  punctures needed to gain proper access to the stone, the rate of bleeding and the  likelihood of other complications. This will contribute to a reduced hospital stay, less  follow-ups and fewer prescribed resources to the patient saving the hospital money  overall.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2353515625" w:line="239.90398406982422" w:lineRule="auto"/>
        <w:ind w:left="757.9216003417969" w:right="973.3575439453125" w:hanging="3.1199645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solution fits within the MIME/Monash Partners KPIs regarding perioperative  procedures. It will work towards making a major surgery more safe. Broad key  performance indicators include improved patient satisfaction, improved patient safety  and reduced patient mortality and complication rates.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3.0751037597656" w:line="240" w:lineRule="auto"/>
        <w:ind w:left="1026.006164550781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BUSINESS MODEL / KPIs / PAGE 9</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0.4415130615234" w:right="0" w:firstLine="0"/>
        <w:jc w:val="left"/>
        <w:rPr>
          <w:rFonts w:ascii="Arial" w:cs="Arial" w:eastAsia="Arial" w:hAnsi="Arial"/>
          <w:b w:val="1"/>
          <w:i w:val="0"/>
          <w:smallCaps w:val="0"/>
          <w:strike w:val="0"/>
          <w:color w:val="000000"/>
          <w:sz w:val="64"/>
          <w:szCs w:val="64"/>
          <w:highlight w:val="black"/>
          <w:u w:val="none"/>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tl w:val="0"/>
        </w:rPr>
        <w:t xml:space="preserve">Market Analysis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69189453125" w:line="204.03648376464844" w:lineRule="auto"/>
        <w:ind w:left="635.9347915649414" w:right="0.00244140625" w:hanging="635.934791564941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Pr>
        <w:drawing>
          <wp:inline distB="19050" distT="19050" distL="19050" distR="19050">
            <wp:extent cx="6857999" cy="4041035"/>
            <wp:effectExtent b="0" l="0" r="0" t="0"/>
            <wp:docPr id="7"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6857999" cy="4041035"/>
                    </a:xfrm>
                    <a:prstGeom prst="rect"/>
                    <a:ln/>
                  </pic:spPr>
                </pic:pic>
              </a:graphicData>
            </a:graphic>
          </wp:inline>
        </w:draw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total addressable market (TAM) for our solution will fall within the global kidney stone  retrieval devices market at USD $2.66 billion in 2021 and is expected to expand at a  compound annual growth rate of 3.7% from 2022-2030, during our device’s development  [15].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8719482421875" w:line="239.9037265777588" w:lineRule="auto"/>
        <w:ind w:left="642.4147796630859" w:right="804.945068359375" w:firstLine="6.480026245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2020, the Australian urological devices market was valued at nearly $72 million, with  167,000 yearly urological procedures performed every year. This market is expected to  increase at a compounded annual growth rate of 3% to reach nearly $89 million in 2026  [16].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845703125" w:line="239.9037265777588" w:lineRule="auto"/>
        <w:ind w:left="632.0948028564453" w:right="650.625" w:hanging="3.1199645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serviceable obtainable market can be taken as the hospitals currently performing  PCNL surgery in Victoria. The figure has been calculated using the MBS code 36543 [17]  and the Medicare Item Reports [18] (for Nephrolithotomy or pyelolithotomy). Where:  1. Vic is the largest market in Aus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05224609375" w:line="240" w:lineRule="auto"/>
        <w:ind w:left="793.378524780273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6,549 x $1,023.75 = $6.704,538.75 in Vic annually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796.49856567382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19,576 x $1,023.75= $20,040930.00 in Aus annually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61669921875" w:line="239.90415573120117" w:lineRule="auto"/>
        <w:ind w:left="630.894775390625" w:right="523.18359375" w:firstLine="1.200027465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device would fall into the market specifically for PCNL or stone retrieval surgery within  the urological devices market.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0146484375" w:line="239.90389823913574" w:lineRule="auto"/>
        <w:ind w:left="627.2947692871094" w:right="846.4642333984375" w:firstLine="10.800018310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Our solution would have no competitors within the market as there are no commercially  available stereotactic systems for stone surgery. It has potential for expansion by  decreasing the learning curve for PCNL surgery and therefore the number of surgeons  who can perform the procedure.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1019897460938" w:line="240" w:lineRule="auto"/>
        <w:ind w:left="1245.5258178710938"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MARKET ANALYSIS / PAGE 10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8.4400177001953" w:right="0" w:firstLine="0"/>
        <w:jc w:val="left"/>
        <w:rPr>
          <w:rFonts w:ascii="Arial" w:cs="Arial" w:eastAsia="Arial" w:hAnsi="Arial"/>
          <w:b w:val="1"/>
          <w:i w:val="0"/>
          <w:smallCaps w:val="0"/>
          <w:strike w:val="0"/>
          <w:color w:val="000000"/>
          <w:sz w:val="64"/>
          <w:szCs w:val="64"/>
          <w:highlight w:val="black"/>
          <w:u w:val="none"/>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tl w:val="0"/>
        </w:rPr>
        <w:t xml:space="preserve">The Team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8.7255859375" w:line="240" w:lineRule="auto"/>
        <w:ind w:left="806.3587188720703"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Clinical Champion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Student Leads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818359375" w:line="240" w:lineRule="auto"/>
        <w:ind w:left="0" w:right="60.2734375" w:firstLine="0"/>
        <w:jc w:val="right"/>
        <w:rPr>
          <w:rFonts w:ascii="Arial" w:cs="Arial" w:eastAsia="Arial" w:hAnsi="Arial"/>
          <w:b w:val="1"/>
          <w:i w:val="0"/>
          <w:smallCaps w:val="0"/>
          <w:strike w:val="0"/>
          <w:color w:val="000000"/>
          <w:sz w:val="24"/>
          <w:szCs w:val="24"/>
          <w:u w:val="none"/>
          <w:shd w:fill="auto" w:val="clear"/>
          <w:vertAlign w:val="baseline"/>
        </w:rPr>
        <w:sectPr>
          <w:type w:val="continuous"/>
          <w:pgSz w:h="15600" w:w="10800" w:orient="portrait"/>
          <w:pgMar w:bottom="110.31494140625" w:top="978.428955078125" w:left="0" w:right="0" w:header="0" w:footer="720"/>
          <w:cols w:equalWidth="0" w:num="1">
            <w:col w:space="0" w:w="10800"/>
          </w:cols>
        </w:sectPr>
      </w:pP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2305375" cy="2305375"/>
            <wp:effectExtent b="0" l="0" r="0" t="0"/>
            <wp:docPr id="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2305375" cy="2305375"/>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3580250" cy="2386064"/>
            <wp:effectExtent b="0" l="0" r="0" t="0"/>
            <wp:docPr id="2"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3580250" cy="2386064"/>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413223266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Jas Coles-Black, MD PhD BBMed  PGradDipAnat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5.736083984375"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PhD 3D Visualisation and 3D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Printing in Surgery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389823913574"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Editorial Board, Artificial Intelligence  Surgery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39.904413223266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Faculty, Biofabrication for Surgeons  RACS Course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13671875" w:line="239.90389823913574"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International Regulatory Body Policy  Citations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RACS ASERNIPS Health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39.90389823913574"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Technology Assessment Scholarship  2020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05224609375"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Winner Best Affordable New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Technology in Urology, SIU 2021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0423583984375" w:line="240" w:lineRule="auto"/>
        <w:ind w:left="0" w:right="0" w:firstLine="0"/>
        <w:jc w:val="left"/>
        <w:rPr>
          <w:rFonts w:ascii="Arial" w:cs="Arial" w:eastAsia="Arial" w:hAnsi="Arial"/>
          <w:b w:val="1"/>
          <w:i w:val="0"/>
          <w:smallCaps w:val="0"/>
          <w:strike w:val="0"/>
          <w:color w:val="000000"/>
          <w:sz w:val="64"/>
          <w:szCs w:val="64"/>
          <w:u w:val="none"/>
          <w:shd w:fill="auto" w:val="clear"/>
          <w:vertAlign w:val="baseline"/>
        </w:rPr>
      </w:pPr>
      <w:r w:rsidDel="00000000" w:rsidR="00000000" w:rsidRPr="00000000">
        <w:rPr>
          <w:rFonts w:ascii="Arial" w:cs="Arial" w:eastAsia="Arial" w:hAnsi="Arial"/>
          <w:b w:val="1"/>
          <w:i w:val="0"/>
          <w:smallCaps w:val="0"/>
          <w:strike w:val="0"/>
          <w:color w:val="000000"/>
          <w:sz w:val="64"/>
          <w:szCs w:val="64"/>
          <w:u w:val="none"/>
          <w:shd w:fill="auto" w:val="clear"/>
          <w:vertAlign w:val="baseline"/>
          <w:rtl w:val="0"/>
        </w:rPr>
        <w:t xml:space="preserve">Our Ask</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749755859375" w:line="239.9040126800537"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team is looking to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expand with  computer science or engineering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experience specifically with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machine  learning, segmentation and mechatronics.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Upani Mapala-Gamage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9488525390625" w:line="239.90415573120117"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3rd Year Bachelors of Engineering  (Honours), Biomedical | Medical  Devices Stream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56640625" w:line="209.0361070632934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3607224" cy="2404021"/>
            <wp:effectExtent b="0" l="0" r="0" t="0"/>
            <wp:docPr id="1"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3607224" cy="2404021"/>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Nandini Pandya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1.91162109375"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Final Year Bachelors of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415573120117" w:lineRule="auto"/>
        <w:ind w:left="0" w:right="0" w:firstLine="0"/>
        <w:jc w:val="lef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110.31494140625" w:top="978.428955078125" w:left="598.3153533935547" w:right="136.527099609375" w:header="0" w:footer="720"/>
          <w:cols w:equalWidth="0" w:num="2">
            <w:col w:space="0" w:w="5040"/>
            <w:col w:space="0" w:w="504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Science, Biochemistry and  Pharmacology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8.8134765625" w:line="240" w:lineRule="auto"/>
        <w:ind w:left="1690.57800292968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TEAM / PAGE 11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8.4400177001953" w:right="0" w:firstLine="0"/>
        <w:jc w:val="left"/>
        <w:rPr>
          <w:rFonts w:ascii="Arial" w:cs="Arial" w:eastAsia="Arial" w:hAnsi="Arial"/>
          <w:b w:val="1"/>
          <w:i w:val="0"/>
          <w:smallCaps w:val="0"/>
          <w:strike w:val="0"/>
          <w:color w:val="000000"/>
          <w:sz w:val="64"/>
          <w:szCs w:val="64"/>
          <w:highlight w:val="black"/>
          <w:u w:val="none"/>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tl w:val="0"/>
        </w:rPr>
        <w:t xml:space="preserve">Timeline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802734375" w:line="240" w:lineRule="auto"/>
        <w:ind w:left="0" w:right="0" w:firstLine="0"/>
        <w:jc w:val="center"/>
        <w:rPr>
          <w:rFonts w:ascii="Arial" w:cs="Arial" w:eastAsia="Arial" w:hAnsi="Arial"/>
          <w:b w:val="1"/>
          <w:i w:val="0"/>
          <w:smallCaps w:val="0"/>
          <w:strike w:val="0"/>
          <w:color w:val="000000"/>
          <w:sz w:val="64"/>
          <w:szCs w:val="64"/>
          <w:highlight w:val="black"/>
          <w:u w:val="none"/>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Pr>
        <w:drawing>
          <wp:inline distB="19050" distT="19050" distL="19050" distR="19050">
            <wp:extent cx="6553200" cy="3071338"/>
            <wp:effectExtent b="0" l="0" r="0" t="0"/>
            <wp:docPr id="3"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6553200" cy="3071338"/>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2.598648071289"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End of HISS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39.90389823913574" w:lineRule="auto"/>
        <w:ind w:left="1055.7986450195312" w:right="1232.2796630859375" w:firstLine="16.8000030517578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By the end of HISS, the goal is to validate the proposed workflow with clinicians  who are familiar with PCNL techniques, academics and engineers. Some  considerations to make: is the 3D model going to make significant enough of a  difference to outcomes? What will the automation process look like? How are  stereotactic systems run? Does an engineer set it up and monitor it during the  surgery?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2353515625" w:line="239.90389823913574" w:lineRule="auto"/>
        <w:ind w:left="1059.3986511230469" w:right="1126.6790771484375" w:firstLine="7.20001220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Once these clarifications are made, it will be easier to plan out the development  of our product and the number of generations that may come into fruition. The  plan is to start with the minimum requirement for a stereotactic system, similar to  those used in other forms of surgery and to implement changes once the basic  system has gone to market, with the eventual goal of robot-assisted puncture.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73.4036254882812" w:line="240" w:lineRule="auto"/>
        <w:ind w:left="1702.8109741210938"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TIMELINE / PAGE 12</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1.719970703125" w:right="0" w:firstLine="0"/>
        <w:jc w:val="left"/>
        <w:rPr>
          <w:rFonts w:ascii="Arial" w:cs="Arial" w:eastAsia="Arial" w:hAnsi="Arial"/>
          <w:b w:val="1"/>
          <w:i w:val="0"/>
          <w:smallCaps w:val="0"/>
          <w:strike w:val="0"/>
          <w:color w:val="000000"/>
          <w:sz w:val="64"/>
          <w:szCs w:val="64"/>
          <w:highlight w:val="black"/>
          <w:u w:val="none"/>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tl w:val="0"/>
        </w:rPr>
        <w:t xml:space="preserve">References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39794921875" w:line="275.88955879211426" w:lineRule="auto"/>
        <w:ind w:left="1787.0787048339844" w:right="1527.720947265625" w:hanging="545.996322631835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Sharma GR, Maheshwari PN, Sharma AG. Fluoroscopy guided  percutaneous renal access in prone position. World Journal of Clinical  Cases. 2015;3(3):245.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712890625" w:line="275.88955879211426" w:lineRule="auto"/>
        <w:ind w:left="1221.8824005126953" w:right="1084.20043945312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Manning TG, Christidis D, Coles-Black J, McGrath S, O’Brien J, Chuen J,  et al. “Plug and play”: A novel technique utilising existing technology to get  the most out of the robot. Journal of Robotic Surgery. 2017;11(2):235–8.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712890625" w:line="275.88955879211426" w:lineRule="auto"/>
        <w:ind w:left="1225.00244140625" w:right="1059.479370117187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Oliveira-Santos T, Peterhans M, Roth B, Reyes M, Nolte L-P, Thalmann G,  et al. Computer aided surgery for percutaneous nephrolithotomy: Clinical  requirement analysis and system design. 2010 Annual International  Conference of the IEEE Engineering in Medicine and Biology. 2010;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712890625" w:line="275.8893871307373" w:lineRule="auto"/>
        <w:ind w:left="1779.3988037109375" w:right="1426.4404296875" w:hanging="561.356430053710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Corrales M, Doizi S, Barghouthy Y, Kamkoum H, Somani B, Traxer O.  Ultrasound or fluoroscopy for percutaneous nephrolithotomy access, is  there really a difference? A review of literature. Journal of Endourology.  2021;35(3):241–8.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712890625" w:line="275.88955879211426" w:lineRule="auto"/>
        <w:ind w:left="1225.00244140625" w:right="1535.1593017578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Tepeler A, Armağan A, Akman T, Polat EC, Ersöz C, Topaktaş R, et al.  Impact of percutaneous renal access technique on outcomes of  percutaneous nephrolithotomy. Journal of Endourology.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294921875" w:line="240" w:lineRule="auto"/>
        <w:ind w:left="1782.038726806640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2012;26(7):828–33.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199951171875" w:line="275.8893013000488" w:lineRule="auto"/>
        <w:ind w:left="1777.23876953125" w:right="1310.760498046875" w:hanging="553.1963348388672"/>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 Percutaneous nephrolithotomy [Internet]. Mayo Clinic. Mayo Foundation  for Medical Education and Research; 2022 [cited 2023Jan14]. Available  from: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13232421875" w:line="275.8890438079834" w:lineRule="auto"/>
        <w:ind w:left="1778.9187622070312" w:right="1092.0416259765625" w:firstLine="11.999969482421875"/>
        <w:jc w:val="left"/>
        <w:rPr>
          <w:rFonts w:ascii="Arial" w:cs="Arial" w:eastAsia="Arial" w:hAnsi="Arial"/>
          <w:b w:val="0"/>
          <w:i w:val="0"/>
          <w:smallCaps w:val="0"/>
          <w:strike w:val="0"/>
          <w:color w:val="0563c1"/>
          <w:sz w:val="24"/>
          <w:szCs w:val="24"/>
          <w:u w:val="none"/>
          <w:shd w:fill="auto" w:val="clear"/>
          <w:vertAlign w:val="baseline"/>
        </w:rPr>
      </w:pPr>
      <w:r w:rsidDel="00000000" w:rsidR="00000000" w:rsidRPr="00000000">
        <w:rPr>
          <w:rFonts w:ascii="Arial" w:cs="Arial" w:eastAsia="Arial" w:hAnsi="Arial"/>
          <w:b w:val="0"/>
          <w:i w:val="0"/>
          <w:smallCaps w:val="0"/>
          <w:strike w:val="0"/>
          <w:color w:val="0563c1"/>
          <w:sz w:val="24"/>
          <w:szCs w:val="24"/>
          <w:u w:val="single"/>
          <w:shd w:fill="010000" w:val="clear"/>
          <w:vertAlign w:val="baseline"/>
          <w:rtl w:val="0"/>
        </w:rPr>
        <w:t xml:space="preserve">https://www.mayoclinic.org/tests-procedures/percutaneous-nephrolithotom</w:t>
      </w:r>
      <w:r w:rsidDel="00000000" w:rsidR="00000000" w:rsidRPr="00000000">
        <w:rPr>
          <w:rFonts w:ascii="Arial" w:cs="Arial" w:eastAsia="Arial" w:hAnsi="Arial"/>
          <w:b w:val="0"/>
          <w:i w:val="0"/>
          <w:smallCaps w:val="0"/>
          <w:strike w:val="0"/>
          <w:color w:val="0563c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563c1"/>
          <w:sz w:val="24"/>
          <w:szCs w:val="24"/>
          <w:u w:val="single"/>
          <w:shd w:fill="010000" w:val="clear"/>
          <w:vertAlign w:val="baseline"/>
          <w:rtl w:val="0"/>
        </w:rPr>
        <w:t xml:space="preserve">y/about/pac-20385051</w:t>
      </w:r>
      <w:r w:rsidDel="00000000" w:rsidR="00000000" w:rsidRPr="00000000">
        <w:rPr>
          <w:rFonts w:ascii="Arial" w:cs="Arial" w:eastAsia="Arial" w:hAnsi="Arial"/>
          <w:b w:val="0"/>
          <w:i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1025390625" w:line="275.8890438079834" w:lineRule="auto"/>
        <w:ind w:left="1782.0387268066406" w:right="1154.04052734375" w:hanging="555.8363342285156"/>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 Percutaneous nephrolithotomy (PCNL) " Department of Urology " College  of Medicine " University of Florida [Internet]. UF monogram. [cited  2023Jan10]. Available from: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101806640625" w:line="275.8890438079834" w:lineRule="auto"/>
        <w:ind w:left="1782.5187683105469" w:right="1144.6820068359375" w:firstLine="8.399963378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https://urology.ufl.edu/patient-care/stone-disease/procedures/percutaneou s-nephrolithotomy-pcnl/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40771484375" w:line="275.88855743408203" w:lineRule="auto"/>
        <w:ind w:left="1777.23876953125" w:right="1049.6405029296875" w:hanging="552.47634887695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 Home [Internet]. Home | The British Association of Urological Surgeons  Limited. [cited 2023Jan14]. Available from: https://www.baus.org.uk/ leaflet  from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25439453125" w:line="275.8890438079834" w:lineRule="auto"/>
        <w:ind w:left="1225.00244140625" w:right="1040.0408935546875" w:firstLine="565.9162902832031"/>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563c1"/>
          <w:sz w:val="24"/>
          <w:szCs w:val="24"/>
          <w:u w:val="single"/>
          <w:shd w:fill="010000" w:val="clear"/>
          <w:vertAlign w:val="baseline"/>
          <w:rtl w:val="0"/>
        </w:rPr>
        <w:t xml:space="preserve">https://www.baus.org.uk/_userfiles/pages/files/Patients/Leaflets/PCNL.pdf</w:t>
      </w:r>
      <w:r w:rsidDel="00000000" w:rsidR="00000000" w:rsidRPr="00000000">
        <w:rPr>
          <w:rFonts w:ascii="Arial" w:cs="Arial" w:eastAsia="Arial" w:hAnsi="Arial"/>
          <w:b w:val="0"/>
          <w:i w:val="0"/>
          <w:smallCaps w:val="0"/>
          <w:strike w:val="0"/>
          <w:color w:val="0563c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 Ibrahim A, Wollin D, Preminger G, Andonian S. Technique of percutaneous  nephrolithotomy. Journal of Endourology. 2018;32(S1).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29644775390625" w:line="275.88855743408203" w:lineRule="auto"/>
        <w:ind w:left="1782.9988098144531" w:right="1074.3609619140625" w:hanging="675.3929901123047"/>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 Ng C-F. Training in percutaneous nephrolithotomy: The learning curve and  options. Arab Journal of Urology. 2014;12(1):54–7.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1475830078125" w:line="275.88855743408203" w:lineRule="auto"/>
        <w:ind w:left="1790.9187316894531" w:right="1051.5606689453125" w:hanging="665.5004119873047"/>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 Poudyal S. Current insights on haemorrhagic complications in  percutaneous nephrolithotomy. Asian Journal of Urology. 2022;9(1):81–93.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6.7475891113281" w:line="240" w:lineRule="auto"/>
        <w:ind w:left="1506.4836120605469"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REFERENCES / PAGE 13</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1.719970703125" w:right="0" w:firstLine="0"/>
        <w:jc w:val="left"/>
        <w:rPr>
          <w:rFonts w:ascii="Arial" w:cs="Arial" w:eastAsia="Arial" w:hAnsi="Arial"/>
          <w:b w:val="1"/>
          <w:i w:val="0"/>
          <w:smallCaps w:val="0"/>
          <w:strike w:val="0"/>
          <w:color w:val="000000"/>
          <w:sz w:val="64"/>
          <w:szCs w:val="64"/>
          <w:highlight w:val="black"/>
          <w:u w:val="none"/>
          <w:vertAlign w:val="baseline"/>
        </w:rPr>
      </w:pPr>
      <w:r w:rsidDel="00000000" w:rsidR="00000000" w:rsidRPr="00000000">
        <w:rPr>
          <w:rFonts w:ascii="Arial" w:cs="Arial" w:eastAsia="Arial" w:hAnsi="Arial"/>
          <w:b w:val="1"/>
          <w:i w:val="0"/>
          <w:smallCaps w:val="0"/>
          <w:strike w:val="0"/>
          <w:color w:val="000000"/>
          <w:sz w:val="64"/>
          <w:szCs w:val="64"/>
          <w:highlight w:val="black"/>
          <w:u w:val="none"/>
          <w:vertAlign w:val="baseline"/>
          <w:rtl w:val="0"/>
        </w:rPr>
        <w:t xml:space="preserve">References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39794921875" w:line="275.88955879211426" w:lineRule="auto"/>
        <w:ind w:left="1782.0387268066406" w:right="1691.4007568359375" w:hanging="674.432907104492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 Taylor E, Miller J, Chi T, Stoller ML. Complications associated with  percutaneous nephrolithotomy. Translational Andrology and Urology.  2012;4.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712890625" w:line="275.88955879211426" w:lineRule="auto"/>
        <w:ind w:left="1790.9187316894531" w:right="1100.5206298828125" w:hanging="683.3129119873047"/>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 Li X, Liao S, Yu Y, Dai Q, Song B, Li L. Stereotactic localisation system: A  modified puncture technique for percutaneous nephrolithotomy. Urological  Research. 2011;40(4):395–401.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712890625" w:line="275.88955879211426" w:lineRule="auto"/>
        <w:ind w:left="1107.6058197021484" w:right="1178.2800292968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 Lojanapiwat B. The ideal puncture approach for PCNL: Fluoroscopy,  ultrasound or Endoscopy? Indian Journal of Urology. 2013;29(3):208.  15. Kidney Stone retrieval devices market size report, 2030 [Internet]. Kidney  Stone Retrieval Devices Market Size Report, 2030. [cited 2023Jan12].  Available from: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712890625" w:line="275.8890438079834" w:lineRule="auto"/>
        <w:ind w:left="1783.7187194824219" w:right="1118.9208984375" w:firstLine="7.20001220703125"/>
        <w:jc w:val="left"/>
        <w:rPr>
          <w:rFonts w:ascii="Arial" w:cs="Arial" w:eastAsia="Arial" w:hAnsi="Arial"/>
          <w:b w:val="0"/>
          <w:i w:val="0"/>
          <w:smallCaps w:val="0"/>
          <w:strike w:val="0"/>
          <w:color w:val="0563c1"/>
          <w:sz w:val="24"/>
          <w:szCs w:val="24"/>
          <w:u w:val="none"/>
          <w:shd w:fill="auto" w:val="clear"/>
          <w:vertAlign w:val="baseline"/>
        </w:rPr>
      </w:pPr>
      <w:r w:rsidDel="00000000" w:rsidR="00000000" w:rsidRPr="00000000">
        <w:rPr>
          <w:rFonts w:ascii="Arial" w:cs="Arial" w:eastAsia="Arial" w:hAnsi="Arial"/>
          <w:b w:val="0"/>
          <w:i w:val="0"/>
          <w:smallCaps w:val="0"/>
          <w:strike w:val="0"/>
          <w:color w:val="0563c1"/>
          <w:sz w:val="24"/>
          <w:szCs w:val="24"/>
          <w:u w:val="single"/>
          <w:shd w:fill="010000" w:val="clear"/>
          <w:vertAlign w:val="baseline"/>
          <w:rtl w:val="0"/>
        </w:rPr>
        <w:t xml:space="preserve">https://www.grandviewresearch.com/industry-analysis/kidney-stone-retriev</w:t>
      </w:r>
      <w:r w:rsidDel="00000000" w:rsidR="00000000" w:rsidRPr="00000000">
        <w:rPr>
          <w:rFonts w:ascii="Arial" w:cs="Arial" w:eastAsia="Arial" w:hAnsi="Arial"/>
          <w:b w:val="0"/>
          <w:i w:val="0"/>
          <w:smallCaps w:val="0"/>
          <w:strike w:val="0"/>
          <w:color w:val="0563c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563c1"/>
          <w:sz w:val="24"/>
          <w:szCs w:val="24"/>
          <w:u w:val="single"/>
          <w:shd w:fill="010000" w:val="clear"/>
          <w:vertAlign w:val="baseline"/>
          <w:rtl w:val="0"/>
        </w:rPr>
        <w:t xml:space="preserve">al-devices-market-report</w:t>
      </w:r>
      <w:r w:rsidDel="00000000" w:rsidR="00000000" w:rsidRPr="00000000">
        <w:rPr>
          <w:rFonts w:ascii="Arial" w:cs="Arial" w:eastAsia="Arial" w:hAnsi="Arial"/>
          <w:b w:val="0"/>
          <w:i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1025390625" w:line="275.8893013000488" w:lineRule="auto"/>
        <w:ind w:left="1107.6058197021484" w:right="1585.3204345703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16. Australia's Urology Market Size, Share &amp; Trends Analysis: 2020-2026  [Internet]. iData Research. 2022 [cited 2023Jan12]. Available from:  https://idataresearch.com/product/urology-market-australia/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13232421875" w:line="275.8890438079834" w:lineRule="auto"/>
        <w:ind w:left="1791.3987731933594" w:right="996.5997314453125" w:hanging="683.792953491210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 Search the MBS [Internet]. Standard Search | Medicare Benefits Schedule.  [cited 2023Jan12]. Available from: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712890625" w:line="275.8893013000488" w:lineRule="auto"/>
        <w:ind w:left="1107.6058197021484" w:right="1816.200561523437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http://www9.health.gov.au/mbs/search.cfm?q=36543&amp;sopt=S  18. Requested medicare items processed from July 2021 to June 2022  [Internet]. Statistics. [cited 2023Jan12]. Available from: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13232421875" w:line="275.88921546936035" w:lineRule="auto"/>
        <w:ind w:left="1775.0787353515625" w:right="1095.5596923828125" w:firstLine="15.8399963378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http://medicarestatistics.humanservices.gov.au/statistics/do.jsp?_PROGR AM=%2Fstatistics%2Fmbs_item_standard_report&amp;DRILL=ag&amp;group=365 43&amp;VAR=benefit&amp;STAT=count&amp;RPT_FMT=by%2Bstate&amp;PTYPE=finyear&amp; START_DT=202107&amp;END_DT=202206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2.337646484375" w:line="240" w:lineRule="auto"/>
        <w:ind w:left="1506.4836120605469"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REFERENCES / PAGE 14</w:t>
      </w:r>
    </w:p>
    <w:sectPr>
      <w:type w:val="continuous"/>
      <w:pgSz w:h="15600" w:w="10800" w:orient="portrait"/>
      <w:pgMar w:bottom="110.31494140625" w:top="978.428955078125" w:left="0" w:right="0" w:header="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10.png"/><Relationship Id="rId13" Type="http://schemas.openxmlformats.org/officeDocument/2006/relationships/image" Target="media/image6.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9.png"/><Relationship Id="rId14"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8.png"/><Relationship Id="rId7" Type="http://schemas.openxmlformats.org/officeDocument/2006/relationships/image" Target="media/image7.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