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2" name="image2.jpg"/>
            <a:graphic>
              <a:graphicData uri="http://schemas.openxmlformats.org/drawingml/2006/picture">
                <pic:pic>
                  <pic:nvPicPr>
                    <pic:cNvPr id="0" name="image2.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PLUTO</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5 </w:t>
      </w:r>
    </w:p>
    <w:p w:rsidR="00000000" w:rsidDel="00000000" w:rsidP="00000000" w:rsidRDefault="00000000" w:rsidRPr="00000000" w14:paraId="00000005">
      <w:pPr>
        <w:spacing w:after="280" w:before="280" w:lineRule="auto"/>
        <w:rPr>
          <w:rFonts w:ascii="Arial Narrow" w:cs="Arial Narrow" w:eastAsia="Arial Narrow" w:hAnsi="Arial Narrow"/>
          <w:b w:val="1"/>
          <w:sz w:val="22"/>
          <w:szCs w:val="22"/>
        </w:rPr>
      </w:pPr>
      <w:r w:rsidDel="00000000" w:rsidR="00000000" w:rsidRPr="00000000">
        <w:rPr>
          <w:rFonts w:ascii="Arial Narrow" w:cs="Arial Narrow" w:eastAsia="Arial Narrow" w:hAnsi="Arial Narrow"/>
          <w:color w:val="006baa"/>
          <w:sz w:val="28"/>
          <w:szCs w:val="28"/>
          <w:rtl w:val="0"/>
        </w:rPr>
        <w:t xml:space="preserve">PROJECT LEAD: LLOYD</w:t>
      </w:r>
      <w:r w:rsidDel="00000000" w:rsidR="00000000" w:rsidRPr="00000000">
        <w:rPr>
          <w:rtl w:val="0"/>
        </w:rPr>
      </w:r>
    </w:p>
    <w:p w:rsidR="00000000" w:rsidDel="00000000" w:rsidP="00000000" w:rsidRDefault="00000000" w:rsidRPr="00000000" w14:paraId="00000006">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Proposed solution</w:t>
      </w:r>
    </w:p>
    <w:p w:rsidR="00000000" w:rsidDel="00000000" w:rsidP="00000000" w:rsidRDefault="00000000" w:rsidRPr="00000000" w14:paraId="0000000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proposed solution will be to promote telehealth consults so that patients can do examinations in their own comfort at home, using an orchidometer through a step by step process over the phone.</w:t>
      </w:r>
    </w:p>
    <w:p w:rsidR="00000000" w:rsidDel="00000000" w:rsidP="00000000" w:rsidRDefault="00000000" w:rsidRPr="00000000" w14:paraId="0000000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primary use of a telehealth application would be to use the video or audio call functionality, whilst also offering options to schedule appointments. Telehealth platforms already exist, which have been beneficial for patient-clinician check-ups during COVID lockdowns. Telehealth consultations are still used now and clinicians could find benefit in using the platform for genital examinations. Testicular size of Klinefelter’s Syndrome patients is typically quite distinguishable as compared to non-patients, therefore if patients can have some guidance to completing a genital examination, this could easily increase the number of patients transferred to clinics. Furthermore, this solution also targets the confrontational aspect that is associated with clinical genital examinations, as patients would instead be examining themselves. The primary issue with this suggestion is how accessible an orchidometer or a similar instrument/object will be for patients.</w:t>
      </w:r>
    </w:p>
    <w:p w:rsidR="00000000" w:rsidDel="00000000" w:rsidP="00000000" w:rsidRDefault="00000000" w:rsidRPr="00000000" w14:paraId="0000000A">
      <w:pPr>
        <w:ind w:left="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B">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Proposed business model</w:t>
      </w:r>
    </w:p>
    <w:p w:rsidR="00000000" w:rsidDel="00000000" w:rsidP="00000000" w:rsidRDefault="00000000" w:rsidRPr="00000000" w14:paraId="0000000C">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Combination of </w:t>
      </w:r>
      <w:r w:rsidDel="00000000" w:rsidR="00000000" w:rsidRPr="00000000">
        <w:rPr>
          <w:rFonts w:ascii="Arial Narrow" w:cs="Arial Narrow" w:eastAsia="Arial Narrow" w:hAnsi="Arial Narrow"/>
          <w:sz w:val="22"/>
          <w:szCs w:val="22"/>
          <w:u w:val="single"/>
          <w:rtl w:val="0"/>
        </w:rPr>
        <w:t xml:space="preserve">service (attached product) </w:t>
      </w:r>
      <w:r w:rsidDel="00000000" w:rsidR="00000000" w:rsidRPr="00000000">
        <w:rPr>
          <w:rFonts w:ascii="Arial Narrow" w:cs="Arial Narrow" w:eastAsia="Arial Narrow" w:hAnsi="Arial Narrow"/>
          <w:sz w:val="22"/>
          <w:szCs w:val="22"/>
          <w:rtl w:val="0"/>
        </w:rPr>
        <w:t xml:space="preserve">and</w:t>
      </w:r>
      <w:r w:rsidDel="00000000" w:rsidR="00000000" w:rsidRPr="00000000">
        <w:rPr>
          <w:rFonts w:ascii="Arial Narrow" w:cs="Arial Narrow" w:eastAsia="Arial Narrow" w:hAnsi="Arial Narrow"/>
          <w:sz w:val="22"/>
          <w:szCs w:val="22"/>
          <w:u w:val="single"/>
          <w:rtl w:val="0"/>
        </w:rPr>
        <w:t xml:space="preserve"> fee-per-use</w:t>
      </w:r>
      <w:r w:rsidDel="00000000" w:rsidR="00000000" w:rsidRPr="00000000">
        <w:rPr>
          <w:rFonts w:ascii="Arial Narrow" w:cs="Arial Narrow" w:eastAsia="Arial Narrow" w:hAnsi="Arial Narrow"/>
          <w:sz w:val="22"/>
          <w:szCs w:val="22"/>
          <w:rtl w:val="0"/>
        </w:rPr>
        <w:t xml:space="preserve"> model</w:t>
      </w:r>
    </w:p>
    <w:p w:rsidR="00000000" w:rsidDel="00000000" w:rsidP="00000000" w:rsidRDefault="00000000" w:rsidRPr="00000000" w14:paraId="0000000D">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has two primary business models. The solution is characteristic of a blended service-product business model, because providing consultations via a phone app or website utilises a product to provide a service. The solution would also exhibit characteristics of a fee-per-use model because each consultation will charge a fee, which patients or their insurance plans will usually cover.</w:t>
      </w:r>
    </w:p>
    <w:p w:rsidR="00000000" w:rsidDel="00000000" w:rsidP="00000000" w:rsidRDefault="00000000" w:rsidRPr="00000000" w14:paraId="0000000E">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F">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Business model - cost</w:t>
      </w:r>
      <w:r w:rsidDel="00000000" w:rsidR="00000000" w:rsidRPr="00000000">
        <w:rPr>
          <w:rtl w:val="0"/>
        </w:rPr>
      </w:r>
    </w:p>
    <w:p w:rsidR="00000000" w:rsidDel="00000000" w:rsidP="00000000" w:rsidRDefault="00000000" w:rsidRPr="00000000" w14:paraId="00000010">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Telehealth consultation applications/websites already exist, so no costs would be involved in the invention stages because the existing platforms can just be used. However, in the development stages, those telehealth applications can cost around $100,000 - $500,000, with variability. During earlier stages, prototypes for those applications could cost around $5,000 - $8,000.</w:t>
      </w:r>
    </w:p>
    <w:p w:rsidR="00000000" w:rsidDel="00000000" w:rsidP="00000000" w:rsidRDefault="00000000" w:rsidRPr="00000000" w14:paraId="00000011">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2">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consultation service will cost the same as in-person consultations, the costs involved will be dependent on the type of clinic and the insurance coverage of patients. Patients with private health insurance will have more of their consultation costs covered. </w:t>
      </w:r>
    </w:p>
    <w:p w:rsidR="00000000" w:rsidDel="00000000" w:rsidP="00000000" w:rsidRDefault="00000000" w:rsidRPr="00000000" w14:paraId="0000001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4">
      <w:pPr>
        <w:rPr>
          <w:rFonts w:ascii="Arial Narrow" w:cs="Arial Narrow" w:eastAsia="Arial Narrow" w:hAnsi="Arial Narrow"/>
          <w:b w:val="1"/>
        </w:rPr>
      </w:pPr>
      <w:r w:rsidDel="00000000" w:rsidR="00000000" w:rsidRPr="00000000">
        <w:rPr>
          <w:rFonts w:ascii="Arial Narrow" w:cs="Arial Narrow" w:eastAsia="Arial Narrow" w:hAnsi="Arial Narrow"/>
          <w:b w:val="1"/>
          <w:sz w:val="22"/>
          <w:szCs w:val="22"/>
          <w:rtl w:val="0"/>
        </w:rPr>
        <w:t xml:space="preserve">Business model - revenue/reimbursement</w:t>
      </w:r>
      <w:r w:rsidDel="00000000" w:rsidR="00000000" w:rsidRPr="00000000">
        <w:rPr>
          <w:rtl w:val="0"/>
        </w:rPr>
      </w:r>
    </w:p>
    <w:p w:rsidR="00000000" w:rsidDel="00000000" w:rsidP="00000000" w:rsidRDefault="00000000" w:rsidRPr="00000000" w14:paraId="00000015">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App developers create these applications, however they do not charge costs to access the applications or websites. Most telehealth applications and websites are free to download or access, so it would be easily accessible as long as patients have a mobile phone or device. It is likely that instead a third-party would pay for these apps/websites to be developed.</w:t>
      </w:r>
    </w:p>
    <w:p w:rsidR="00000000" w:rsidDel="00000000" w:rsidP="00000000" w:rsidRDefault="00000000" w:rsidRPr="00000000" w14:paraId="00000016">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Promoting self-genital-examinations on telehealth consultation calls would quite easily penetrate the market because many telehealth options already exist and are used, they would just be adapted. Additionally, since telehealth applications already exist, MBS codes exist already. However some new codes may be required to repurpose to focus on allowing examinations via video consultations.</w:t>
      </w:r>
    </w:p>
    <w:p w:rsidR="00000000" w:rsidDel="00000000" w:rsidP="00000000" w:rsidRDefault="00000000" w:rsidRPr="00000000" w14:paraId="0000001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9">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risk management</w:t>
      </w:r>
    </w:p>
    <w:p w:rsidR="00000000" w:rsidDel="00000000" w:rsidP="00000000" w:rsidRDefault="00000000" w:rsidRPr="00000000" w14:paraId="0000001A">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Since the solution is based on existing solutions, if the market was to be exited, these existing telehealth applications would still exist in the market but without the intended adaptations to be used as a method for on-call self-examinations. To maximise the value of the project and its findings during its exit, it would be beneficial to at least spread awareness of KS.</w:t>
      </w:r>
    </w:p>
    <w:p w:rsidR="00000000" w:rsidDel="00000000" w:rsidP="00000000" w:rsidRDefault="00000000" w:rsidRPr="00000000" w14:paraId="0000001B">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 relation to the Monash Health Key Performance Priorities 2021-2022:</w:t>
      </w:r>
    </w:p>
    <w:p w:rsidR="00000000" w:rsidDel="00000000" w:rsidP="00000000" w:rsidRDefault="00000000" w:rsidRPr="00000000" w14:paraId="0000001D">
      <w:pPr>
        <w:numPr>
          <w:ilvl w:val="0"/>
          <w:numId w:val="1"/>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Positive patient experiences - patients more able to access consultation/physical examinations</w:t>
      </w:r>
    </w:p>
    <w:p w:rsidR="00000000" w:rsidDel="00000000" w:rsidP="00000000" w:rsidRDefault="00000000" w:rsidRPr="00000000" w14:paraId="0000001E">
      <w:pPr>
        <w:numPr>
          <w:ilvl w:val="0"/>
          <w:numId w:val="1"/>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Timely access to care - online consultations will enhance triaging process</w:t>
      </w:r>
    </w:p>
    <w:p w:rsidR="00000000" w:rsidDel="00000000" w:rsidP="00000000" w:rsidRDefault="00000000" w:rsidRPr="00000000" w14:paraId="0000001F">
      <w:pPr>
        <w:numPr>
          <w:ilvl w:val="0"/>
          <w:numId w:val="1"/>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Infection prevention and control - use of non in-person contact</w:t>
      </w:r>
    </w:p>
    <w:p w:rsidR="00000000" w:rsidDel="00000000" w:rsidP="00000000" w:rsidRDefault="00000000" w:rsidRPr="00000000" w14:paraId="0000002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most significant risks of this solution are that inaccurate self-measurements could cause unnecessary stress and anxiety. </w:t>
      </w:r>
    </w:p>
    <w:p w:rsidR="00000000" w:rsidDel="00000000" w:rsidP="00000000" w:rsidRDefault="00000000" w:rsidRPr="00000000" w14:paraId="0000002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Market analysis</w:t>
      </w: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TAM </w:t>
      </w:r>
    </w:p>
    <w:p w:rsidR="00000000" w:rsidDel="00000000" w:rsidP="00000000" w:rsidRDefault="00000000" w:rsidRPr="00000000" w14:paraId="00000025">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If the prevalence rate of KS is 150 per 100,000 males, then there could be an estimated 6-8 million potential KS patients. The Klinefelter’s syndrome treatment market worldwide as of 2022 is around 1.1 billion USD.</w:t>
      </w:r>
    </w:p>
    <w:p w:rsidR="00000000" w:rsidDel="00000000" w:rsidP="00000000" w:rsidRDefault="00000000" w:rsidRPr="00000000" w14:paraId="00000026">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SAM</w:t>
      </w:r>
    </w:p>
    <w:p w:rsidR="00000000" w:rsidDel="00000000" w:rsidP="00000000" w:rsidRDefault="00000000" w:rsidRPr="00000000" w14:paraId="00000028">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An estimated 25,000 men in Australia have Klinefelter’s Syndrome, with around 13,000 undiagnosed. Current market reach could reach out to the entire Australia. The Asia-Pacific market makes up approximately one fifth of the total addressable market, of around 200 million USD, so Australia’s market could be approximated at around 100 million USD.</w:t>
      </w:r>
    </w:p>
    <w:p w:rsidR="00000000" w:rsidDel="00000000" w:rsidP="00000000" w:rsidRDefault="00000000" w:rsidRPr="00000000" w14:paraId="00000029">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br w:type="textWrapping"/>
        <w:t xml:space="preserve">SOM</w:t>
      </w:r>
    </w:p>
    <w:p w:rsidR="00000000" w:rsidDel="00000000" w:rsidP="00000000" w:rsidRDefault="00000000" w:rsidRPr="00000000" w14:paraId="0000002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Market reach with current resources will be dependent on awareness campaigns. Current resources include partnerships with my clinician, Healthy Males Organisation and other potential campaigning organisations.</w:t>
      </w:r>
    </w:p>
    <w:p w:rsidR="00000000" w:rsidDel="00000000" w:rsidP="00000000" w:rsidRDefault="00000000" w:rsidRPr="00000000" w14:paraId="0000002B">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As suggested by some of these organisations, it's hard to gauge the effectiveness of the awareness tools.</w:t>
      </w:r>
    </w:p>
    <w:p w:rsidR="00000000" w:rsidDel="00000000" w:rsidP="00000000" w:rsidRDefault="00000000" w:rsidRPr="00000000" w14:paraId="0000002C">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E">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This solution is designed to primarily target those undiagnosed patients who are aware of their symptoms but would prefer a different method of initial diagnosis. New solutions can be promoted through the awareness tools to inform patients of other simple methods that could be used to conduct preliminary examinations. Awareness campaigns promoting alternative examination methods, would inevitably also reach out to patients that were never aware of Klinefelter’s Syndrome. Hence the market can be expanded, however this relies predominantly on the effectiveness of awareness campaigns. </w:t>
      </w:r>
    </w:p>
    <w:p w:rsidR="00000000" w:rsidDel="00000000" w:rsidP="00000000" w:rsidRDefault="00000000" w:rsidRPr="00000000" w14:paraId="0000002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6">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5G3WQrgJldjAqL+b0xiveV13KYQ==">AMUW2mVgb1SkIML4NbyGioG9xDw0gTluIF2IgY02MQFPd8z0WrU0qvsqnKxFjv9k1HxHPz8SVvSeJj7I7QxJjJzNZB7n2/LSx6LD3fM9rVoOttyjsU1CIRQ=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