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9050" distT="19050" distL="19050" distR="19050">
            <wp:extent cx="1393378" cy="58578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93378" cy="5857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46529" cy="623888"/>
            <wp:effectExtent b="0" l="0" r="0" t="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946529" cy="6238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09763" cy="525623"/>
            <wp:effectExtent b="0" l="0" r="0" t="0"/>
            <wp:docPr id="2" name="image3.jpg"/>
            <a:graphic>
              <a:graphicData uri="http://schemas.openxmlformats.org/drawingml/2006/picture">
                <pic:pic>
                  <pic:nvPicPr>
                    <pic:cNvPr id="0" name="image3.jpg"/>
                    <pic:cNvPicPr preferRelativeResize="0"/>
                  </pic:nvPicPr>
                  <pic:blipFill>
                    <a:blip r:embed="rId8"/>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6baa"/>
          <w:sz w:val="28"/>
          <w:szCs w:val="28"/>
          <w:rtl w:val="0"/>
        </w:rPr>
        <w:t xml:space="preserve">PROJECT NAME: THEIA</w:t>
      </w:r>
      <w:r w:rsidDel="00000000" w:rsidR="00000000" w:rsidRPr="00000000">
        <w:rPr>
          <w:rtl w:val="0"/>
        </w:rPr>
      </w:r>
    </w:p>
    <w:p w:rsidR="00000000" w:rsidDel="00000000" w:rsidP="00000000" w:rsidRDefault="00000000" w:rsidRPr="00000000" w14:paraId="00000004">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4 (Week 5)</w:t>
      </w:r>
    </w:p>
    <w:p w:rsidR="00000000" w:rsidDel="00000000" w:rsidP="00000000" w:rsidRDefault="00000000" w:rsidRPr="00000000" w14:paraId="00000005">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PATRICK KWAN, YAOYAO JIA</w:t>
      </w:r>
    </w:p>
    <w:p w:rsidR="00000000" w:rsidDel="00000000" w:rsidP="00000000" w:rsidRDefault="00000000" w:rsidRPr="00000000" w14:paraId="00000006">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07">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Summary of current gold-standard:</w:t>
      </w:r>
    </w:p>
    <w:p w:rsidR="00000000" w:rsidDel="00000000" w:rsidP="00000000" w:rsidRDefault="00000000" w:rsidRPr="00000000" w14:paraId="00000008">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9">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landscape of existing “gold-standard” solutions in Australia for blind and low-vision users to conduct and interpret point-of-care, over-the-counter medical tests, predominantly revolve around two mobile applications: AIRA and BeMyEyes. Such applications provide synchronous assistance through video-call from live agents towards end-users, and as such, do not enable Australian blind and low-vision users to conduct medical tests independently, or to interpret results privately. The availability, quality and cost-effectiveness of existing solutions vary between application models, and depend upon whether existing government funding bodies (e.g. National Disability Insurance Scheme) </w:t>
      </w:r>
      <w:r w:rsidDel="00000000" w:rsidR="00000000" w:rsidRPr="00000000">
        <w:rPr>
          <w:rFonts w:ascii="Arial Narrow" w:cs="Arial Narrow" w:eastAsia="Arial Narrow" w:hAnsi="Arial Narrow"/>
          <w:sz w:val="24"/>
          <w:szCs w:val="24"/>
          <w:rtl w:val="0"/>
        </w:rPr>
        <w:t xml:space="preserve">provide</w:t>
      </w:r>
      <w:r w:rsidDel="00000000" w:rsidR="00000000" w:rsidRPr="00000000">
        <w:rPr>
          <w:rFonts w:ascii="Arial Narrow" w:cs="Arial Narrow" w:eastAsia="Arial Narrow" w:hAnsi="Arial Narrow"/>
          <w:sz w:val="24"/>
          <w:szCs w:val="24"/>
          <w:rtl w:val="0"/>
        </w:rPr>
        <w:t xml:space="preserve"> a limited subsidy for these services. The application AIRA utilises trained agents based in the U.S., thus providing assistance of standardised quality, at a per-hour rate; whereas BeMyEyes provides non-standardised quality of assistance from global, untrained volunteers, at a cost-free rate.</w:t>
      </w:r>
    </w:p>
    <w:p w:rsidR="00000000" w:rsidDel="00000000" w:rsidP="00000000" w:rsidRDefault="00000000" w:rsidRPr="00000000" w14:paraId="0000000A">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B">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Pugh matrix:</w:t>
      </w:r>
    </w:p>
    <w:p w:rsidR="00000000" w:rsidDel="00000000" w:rsidP="00000000" w:rsidRDefault="00000000" w:rsidRPr="00000000" w14:paraId="0000000C">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0D">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Acceptance Criteria:</w:t>
      </w:r>
    </w:p>
    <w:p w:rsidR="00000000" w:rsidDel="00000000" w:rsidP="00000000" w:rsidRDefault="00000000" w:rsidRPr="00000000" w14:paraId="0000000E">
      <w:pPr>
        <w:widowControl w:val="0"/>
        <w:numPr>
          <w:ilvl w:val="0"/>
          <w:numId w:val="3"/>
        </w:numPr>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Enables users to conduct and interpret point-of-care medical devices and test successfully without the assistance of another person, in comparison to existing practices.</w:t>
      </w:r>
    </w:p>
    <w:p w:rsidR="00000000" w:rsidDel="00000000" w:rsidP="00000000" w:rsidRDefault="00000000" w:rsidRPr="00000000" w14:paraId="0000000F">
      <w:pPr>
        <w:widowControl w:val="0"/>
        <w:numPr>
          <w:ilvl w:val="0"/>
          <w:numId w:val="3"/>
        </w:numPr>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Improves user’s ease-of-use conducting point-of-care medical devices and tests, in comparison to existing practices.</w:t>
      </w:r>
    </w:p>
    <w:p w:rsidR="00000000" w:rsidDel="00000000" w:rsidP="00000000" w:rsidRDefault="00000000" w:rsidRPr="00000000" w14:paraId="00000010">
      <w:pPr>
        <w:widowControl w:val="0"/>
        <w:numPr>
          <w:ilvl w:val="0"/>
          <w:numId w:val="3"/>
        </w:numPr>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scalable solution which can be used for different types and brands of medical devices or tests.</w:t>
      </w:r>
    </w:p>
    <w:p w:rsidR="00000000" w:rsidDel="00000000" w:rsidP="00000000" w:rsidRDefault="00000000" w:rsidRPr="00000000" w14:paraId="00000011">
      <w:pPr>
        <w:widowControl w:val="0"/>
        <w:numPr>
          <w:ilvl w:val="0"/>
          <w:numId w:val="3"/>
        </w:numPr>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Improves user’s privacy in interpreting over-the-counter medical devices and tests, in comparison to current practices.</w:t>
      </w:r>
    </w:p>
    <w:p w:rsidR="00000000" w:rsidDel="00000000" w:rsidP="00000000" w:rsidRDefault="00000000" w:rsidRPr="00000000" w14:paraId="00000012">
      <w:pPr>
        <w:widowControl w:val="0"/>
        <w:numPr>
          <w:ilvl w:val="0"/>
          <w:numId w:val="3"/>
        </w:numPr>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Improves user’s convenience whilst conducting the test:</w:t>
      </w:r>
    </w:p>
    <w:p w:rsidR="00000000" w:rsidDel="00000000" w:rsidP="00000000" w:rsidRDefault="00000000" w:rsidRPr="00000000" w14:paraId="00000013">
      <w:pPr>
        <w:widowControl w:val="0"/>
        <w:numPr>
          <w:ilvl w:val="1"/>
          <w:numId w:val="3"/>
        </w:numPr>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Decreases user times taken to conduct all available point-of-care medical devices and tests in Australia (latency, internet connection, etc.)</w:t>
      </w:r>
    </w:p>
    <w:p w:rsidR="00000000" w:rsidDel="00000000" w:rsidP="00000000" w:rsidRDefault="00000000" w:rsidRPr="00000000" w14:paraId="00000014">
      <w:pPr>
        <w:widowControl w:val="0"/>
        <w:numPr>
          <w:ilvl w:val="1"/>
          <w:numId w:val="3"/>
        </w:numPr>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Decreases user times taken to interpret all available point-of-care medical devices and tests in Australia.</w:t>
      </w:r>
    </w:p>
    <w:p w:rsidR="00000000" w:rsidDel="00000000" w:rsidP="00000000" w:rsidRDefault="00000000" w:rsidRPr="00000000" w14:paraId="00000015">
      <w:pPr>
        <w:widowControl w:val="0"/>
        <w:numPr>
          <w:ilvl w:val="0"/>
          <w:numId w:val="3"/>
        </w:numPr>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Provides a centralised solution through which to conduct point-of-care medical devices and tests.</w:t>
      </w:r>
    </w:p>
    <w:p w:rsidR="00000000" w:rsidDel="00000000" w:rsidP="00000000" w:rsidRDefault="00000000" w:rsidRPr="00000000" w14:paraId="00000016">
      <w:pPr>
        <w:widowControl w:val="0"/>
        <w:numPr>
          <w:ilvl w:val="0"/>
          <w:numId w:val="3"/>
        </w:numPr>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cost-reducing or cost-neutral solution in comparison to existing practices.</w:t>
      </w:r>
    </w:p>
    <w:p w:rsidR="00000000" w:rsidDel="00000000" w:rsidP="00000000" w:rsidRDefault="00000000" w:rsidRPr="00000000" w14:paraId="00000017">
      <w:pPr>
        <w:widowControl w:val="0"/>
        <w:numPr>
          <w:ilvl w:val="0"/>
          <w:numId w:val="3"/>
        </w:numPr>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solution which is accessible for all members of blind and low-vision community.</w:t>
      </w:r>
    </w:p>
    <w:p w:rsidR="00000000" w:rsidDel="00000000" w:rsidP="00000000" w:rsidRDefault="00000000" w:rsidRPr="00000000" w14:paraId="00000018">
      <w:pPr>
        <w:widowControl w:val="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9">
      <w:pPr>
        <w:widowControl w:val="0"/>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rtl w:val="0"/>
        </w:rPr>
        <w:t xml:space="preserve">Solutions: </w:t>
      </w:r>
      <w:r w:rsidDel="00000000" w:rsidR="00000000" w:rsidRPr="00000000">
        <w:rPr>
          <w:rtl w:val="0"/>
        </w:rPr>
      </w:r>
    </w:p>
    <w:p w:rsidR="00000000" w:rsidDel="00000000" w:rsidP="00000000" w:rsidRDefault="00000000" w:rsidRPr="00000000" w14:paraId="0000001A">
      <w:pPr>
        <w:widowControl w:val="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bl>
      <w:tblPr>
        <w:tblStyle w:val="Table1"/>
        <w:tblW w:w="10140.0" w:type="dxa"/>
        <w:jc w:val="left"/>
        <w:tblInd w:w="-3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40"/>
        <w:tblGridChange w:id="0">
          <w:tblGrid>
            <w:gridCol w:w="101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numPr>
                <w:ilvl w:val="0"/>
                <w:numId w:val="1"/>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Develop a mobile software application that reads out specific test instructions to users, and uses AI software to verbalise the results shown on the test-window.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numPr>
                <w:ilvl w:val="0"/>
                <w:numId w:val="1"/>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Develop an application that enables users to take anonymous photos of their results and send them to a community of trusted users to annotate them.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numPr>
                <w:ilvl w:val="0"/>
                <w:numId w:val="1"/>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Policy-level changes: modify existing TGA regulations to require manufacturers to make their consumer products BLV friendly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numPr>
                <w:ilvl w:val="0"/>
                <w:numId w:val="1"/>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Instantiate a government funded scheme for locally trained agents to assist BLV users for medical devices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numPr>
                <w:ilvl w:val="0"/>
                <w:numId w:val="1"/>
              </w:numPr>
              <w:spacing w:line="240" w:lineRule="auto"/>
              <w:ind w:left="72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Develop a reusable digital POCT that is BLV friendly</w:t>
            </w:r>
          </w:p>
        </w:tc>
      </w:tr>
    </w:tbl>
    <w:p w:rsidR="00000000" w:rsidDel="00000000" w:rsidP="00000000" w:rsidRDefault="00000000" w:rsidRPr="00000000" w14:paraId="00000020">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21">
      <w:pPr>
        <w:spacing w:line="240" w:lineRule="auto"/>
        <w:rPr>
          <w:rFonts w:ascii="Arial Narrow" w:cs="Arial Narrow" w:eastAsia="Arial Narrow" w:hAnsi="Arial Narrow"/>
          <w:sz w:val="24"/>
          <w:szCs w:val="24"/>
        </w:rPr>
      </w:pPr>
      <w:r w:rsidDel="00000000" w:rsidR="00000000" w:rsidRPr="00000000">
        <w:rPr>
          <w:rtl w:val="0"/>
        </w:rPr>
      </w:r>
    </w:p>
    <w:tbl>
      <w:tblPr>
        <w:tblStyle w:val="Table2"/>
        <w:tblW w:w="10200.0" w:type="dxa"/>
        <w:jc w:val="left"/>
        <w:tblInd w:w="-360.0" w:type="dxa"/>
        <w:tblLayout w:type="fixed"/>
        <w:tblLook w:val="0400"/>
      </w:tblPr>
      <w:tblGrid>
        <w:gridCol w:w="1995"/>
        <w:gridCol w:w="1455"/>
        <w:gridCol w:w="1245"/>
        <w:gridCol w:w="1020"/>
        <w:gridCol w:w="1125"/>
        <w:gridCol w:w="960"/>
        <w:gridCol w:w="975"/>
        <w:gridCol w:w="1425"/>
        <w:tblGridChange w:id="0">
          <w:tblGrid>
            <w:gridCol w:w="1995"/>
            <w:gridCol w:w="1455"/>
            <w:gridCol w:w="1245"/>
            <w:gridCol w:w="1020"/>
            <w:gridCol w:w="1125"/>
            <w:gridCol w:w="960"/>
            <w:gridCol w:w="975"/>
            <w:gridCol w:w="1425"/>
          </w:tblGrid>
        </w:tblGridChange>
      </w:tblGrid>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2">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3">
            <w:pPr>
              <w:spacing w:line="240" w:lineRule="auto"/>
              <w:rPr>
                <w:sz w:val="20"/>
                <w:szCs w:val="20"/>
              </w:rPr>
            </w:pPr>
            <w:r w:rsidDel="00000000" w:rsidR="00000000" w:rsidRPr="00000000">
              <w:rPr>
                <w:sz w:val="20"/>
                <w:szCs w:val="20"/>
                <w:rtl w:val="0"/>
              </w:rPr>
              <w:t xml:space="preserve">Current gold standard</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4">
            <w:pPr>
              <w:spacing w:line="240" w:lineRule="auto"/>
              <w:rPr>
                <w:sz w:val="20"/>
                <w:szCs w:val="20"/>
              </w:rPr>
            </w:pPr>
            <w:r w:rsidDel="00000000" w:rsidR="00000000" w:rsidRPr="00000000">
              <w:rPr>
                <w:sz w:val="20"/>
                <w:szCs w:val="20"/>
                <w:rtl w:val="0"/>
              </w:rPr>
              <w:t xml:space="preserve">Weight</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5">
            <w:pPr>
              <w:spacing w:line="240" w:lineRule="auto"/>
              <w:rPr>
                <w:sz w:val="20"/>
                <w:szCs w:val="20"/>
              </w:rPr>
            </w:pPr>
            <w:r w:rsidDel="00000000" w:rsidR="00000000" w:rsidRPr="00000000">
              <w:rPr>
                <w:sz w:val="20"/>
                <w:szCs w:val="20"/>
                <w:rtl w:val="0"/>
              </w:rPr>
              <w:t xml:space="preserve">Solution #1</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6">
            <w:pPr>
              <w:spacing w:line="240" w:lineRule="auto"/>
              <w:rPr>
                <w:sz w:val="20"/>
                <w:szCs w:val="20"/>
              </w:rPr>
            </w:pPr>
            <w:r w:rsidDel="00000000" w:rsidR="00000000" w:rsidRPr="00000000">
              <w:rPr>
                <w:sz w:val="20"/>
                <w:szCs w:val="20"/>
                <w:rtl w:val="0"/>
              </w:rPr>
              <w:t xml:space="preserve">Solution #2</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7">
            <w:pPr>
              <w:spacing w:line="240" w:lineRule="auto"/>
              <w:rPr>
                <w:sz w:val="20"/>
                <w:szCs w:val="20"/>
              </w:rPr>
            </w:pPr>
            <w:r w:rsidDel="00000000" w:rsidR="00000000" w:rsidRPr="00000000">
              <w:rPr>
                <w:sz w:val="20"/>
                <w:szCs w:val="20"/>
                <w:rtl w:val="0"/>
              </w:rPr>
              <w:t xml:space="preserve">Solution #3</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8">
            <w:pPr>
              <w:spacing w:line="240" w:lineRule="auto"/>
              <w:rPr>
                <w:sz w:val="20"/>
                <w:szCs w:val="20"/>
              </w:rPr>
            </w:pPr>
            <w:r w:rsidDel="00000000" w:rsidR="00000000" w:rsidRPr="00000000">
              <w:rPr>
                <w:sz w:val="20"/>
                <w:szCs w:val="20"/>
                <w:rtl w:val="0"/>
              </w:rPr>
              <w:t xml:space="preserve">Solution #4</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9">
            <w:pPr>
              <w:spacing w:line="240" w:lineRule="auto"/>
              <w:rPr>
                <w:sz w:val="20"/>
                <w:szCs w:val="20"/>
              </w:rPr>
            </w:pPr>
            <w:r w:rsidDel="00000000" w:rsidR="00000000" w:rsidRPr="00000000">
              <w:rPr>
                <w:sz w:val="20"/>
                <w:szCs w:val="20"/>
                <w:rtl w:val="0"/>
              </w:rPr>
              <w:t xml:space="preserve">Solution #5</w:t>
            </w:r>
          </w:p>
        </w:tc>
      </w:tr>
      <w:tr>
        <w:trPr>
          <w:cantSplit w:val="0"/>
          <w:trHeight w:val="534.960937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A">
            <w:pPr>
              <w:spacing w:line="240" w:lineRule="auto"/>
              <w:rPr>
                <w:sz w:val="20"/>
                <w:szCs w:val="20"/>
              </w:rPr>
            </w:pPr>
            <w:r w:rsidDel="00000000" w:rsidR="00000000" w:rsidRPr="00000000">
              <w:rPr>
                <w:sz w:val="20"/>
                <w:szCs w:val="20"/>
                <w:rtl w:val="0"/>
              </w:rPr>
              <w:t xml:space="preserve">Acceptance criteria #1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B">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C">
            <w:pPr>
              <w:spacing w:line="240" w:lineRule="auto"/>
              <w:rPr>
                <w:sz w:val="20"/>
                <w:szCs w:val="20"/>
              </w:rPr>
            </w:pPr>
            <w:r w:rsidDel="00000000" w:rsidR="00000000" w:rsidRPr="00000000">
              <w:rPr>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2">
            <w:pPr>
              <w:spacing w:line="240" w:lineRule="auto"/>
              <w:rPr>
                <w:sz w:val="20"/>
                <w:szCs w:val="20"/>
              </w:rPr>
            </w:pPr>
            <w:r w:rsidDel="00000000" w:rsidR="00000000" w:rsidRPr="00000000">
              <w:rPr>
                <w:sz w:val="20"/>
                <w:szCs w:val="20"/>
                <w:rtl w:val="0"/>
              </w:rPr>
              <w:t xml:space="preserve">Acceptance criteria #2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3">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4">
            <w:pPr>
              <w:spacing w:line="240" w:lineRule="auto"/>
              <w:rPr>
                <w:sz w:val="20"/>
                <w:szCs w:val="20"/>
              </w:rPr>
            </w:pPr>
            <w:r w:rsidDel="00000000" w:rsidR="00000000" w:rsidRPr="00000000">
              <w:rPr>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A">
            <w:pPr>
              <w:spacing w:line="240" w:lineRule="auto"/>
              <w:rPr>
                <w:sz w:val="20"/>
                <w:szCs w:val="20"/>
              </w:rPr>
            </w:pPr>
            <w:r w:rsidDel="00000000" w:rsidR="00000000" w:rsidRPr="00000000">
              <w:rPr>
                <w:sz w:val="20"/>
                <w:szCs w:val="20"/>
                <w:rtl w:val="0"/>
              </w:rPr>
              <w:t xml:space="preserve">Acceptance criteria #3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B">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C">
            <w:pPr>
              <w:spacing w:line="240" w:lineRule="auto"/>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2">
            <w:pPr>
              <w:spacing w:line="240" w:lineRule="auto"/>
              <w:rPr>
                <w:sz w:val="20"/>
                <w:szCs w:val="20"/>
              </w:rPr>
            </w:pPr>
            <w:r w:rsidDel="00000000" w:rsidR="00000000" w:rsidRPr="00000000">
              <w:rPr>
                <w:sz w:val="20"/>
                <w:szCs w:val="20"/>
                <w:rtl w:val="0"/>
              </w:rPr>
              <w:t xml:space="preserve">Acceptance criteria #4</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3">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4">
            <w:pPr>
              <w:spacing w:line="240" w:lineRule="auto"/>
              <w:rPr>
                <w:sz w:val="20"/>
                <w:szCs w:val="20"/>
              </w:rPr>
            </w:pPr>
            <w:r w:rsidDel="00000000" w:rsidR="00000000" w:rsidRPr="00000000">
              <w:rPr>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A">
            <w:pPr>
              <w:spacing w:line="240" w:lineRule="auto"/>
              <w:rPr>
                <w:sz w:val="20"/>
                <w:szCs w:val="20"/>
              </w:rPr>
            </w:pPr>
            <w:r w:rsidDel="00000000" w:rsidR="00000000" w:rsidRPr="00000000">
              <w:rPr>
                <w:sz w:val="20"/>
                <w:szCs w:val="20"/>
                <w:rtl w:val="0"/>
              </w:rPr>
              <w:t xml:space="preserve">Acceptance Criteria #5a.</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B">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C">
            <w:pPr>
              <w:spacing w:line="240" w:lineRule="auto"/>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2">
            <w:pPr>
              <w:spacing w:line="240" w:lineRule="auto"/>
              <w:rPr>
                <w:sz w:val="20"/>
                <w:szCs w:val="20"/>
              </w:rPr>
            </w:pPr>
            <w:r w:rsidDel="00000000" w:rsidR="00000000" w:rsidRPr="00000000">
              <w:rPr>
                <w:sz w:val="20"/>
                <w:szCs w:val="20"/>
                <w:rtl w:val="0"/>
              </w:rPr>
              <w:t xml:space="preserve">Acceptance criteria #5b.</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3">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4">
            <w:pPr>
              <w:spacing w:line="240" w:lineRule="auto"/>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A">
            <w:pPr>
              <w:spacing w:line="240" w:lineRule="auto"/>
              <w:rPr>
                <w:sz w:val="20"/>
                <w:szCs w:val="20"/>
              </w:rPr>
            </w:pPr>
            <w:r w:rsidDel="00000000" w:rsidR="00000000" w:rsidRPr="00000000">
              <w:rPr>
                <w:sz w:val="20"/>
                <w:szCs w:val="20"/>
                <w:rtl w:val="0"/>
              </w:rPr>
              <w:t xml:space="preserve">Acceptance criteria #6</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B">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C">
            <w:pPr>
              <w:spacing w:line="240" w:lineRule="auto"/>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2">
            <w:pPr>
              <w:spacing w:line="240" w:lineRule="auto"/>
              <w:rPr>
                <w:sz w:val="20"/>
                <w:szCs w:val="20"/>
              </w:rPr>
            </w:pPr>
            <w:r w:rsidDel="00000000" w:rsidR="00000000" w:rsidRPr="00000000">
              <w:rPr>
                <w:sz w:val="20"/>
                <w:szCs w:val="20"/>
                <w:rtl w:val="0"/>
              </w:rPr>
              <w:t xml:space="preserve">Acceptance criteria #7</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3">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4">
            <w:pPr>
              <w:spacing w:line="240" w:lineRule="auto"/>
              <w:rPr>
                <w:sz w:val="20"/>
                <w:szCs w:val="20"/>
              </w:rPr>
            </w:pPr>
            <w:r w:rsidDel="00000000" w:rsidR="00000000" w:rsidRPr="00000000">
              <w:rPr>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A">
            <w:pPr>
              <w:spacing w:line="240" w:lineRule="auto"/>
              <w:rPr>
                <w:sz w:val="20"/>
                <w:szCs w:val="20"/>
              </w:rPr>
            </w:pPr>
            <w:r w:rsidDel="00000000" w:rsidR="00000000" w:rsidRPr="00000000">
              <w:rPr>
                <w:sz w:val="20"/>
                <w:szCs w:val="20"/>
                <w:rtl w:val="0"/>
              </w:rPr>
              <w:t xml:space="preserve">Acceptance criteria #8</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B">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C">
            <w:pPr>
              <w:spacing w:line="240" w:lineRule="auto"/>
              <w:rPr>
                <w:sz w:val="20"/>
                <w:szCs w:val="20"/>
              </w:rPr>
            </w:pPr>
            <w:r w:rsidDel="00000000" w:rsidR="00000000" w:rsidRPr="00000000">
              <w:rPr>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2">
            <w:pPr>
              <w:spacing w:line="240" w:lineRule="auto"/>
              <w:rPr>
                <w:sz w:val="20"/>
                <w:szCs w:val="20"/>
              </w:rPr>
            </w:pPr>
            <w:r w:rsidDel="00000000" w:rsidR="00000000" w:rsidRPr="00000000">
              <w:rPr>
                <w:sz w:val="20"/>
                <w:szCs w:val="20"/>
                <w:rtl w:val="0"/>
              </w:rPr>
              <w:t xml:space="preserve">Total</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3">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4">
            <w:pPr>
              <w:spacing w:line="240" w:lineRule="auto"/>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bl>
    <w:p w:rsidR="00000000" w:rsidDel="00000000" w:rsidP="00000000" w:rsidRDefault="00000000" w:rsidRPr="00000000" w14:paraId="0000007A">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7B">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C">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Final verdict:</w:t>
      </w:r>
    </w:p>
    <w:p w:rsidR="00000000" w:rsidDel="00000000" w:rsidP="00000000" w:rsidRDefault="00000000" w:rsidRPr="00000000" w14:paraId="0000007D">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Quick summary (under 200 words) of what the most favourably weighted solution is, include illustrations if possible.</w:t>
      </w:r>
    </w:p>
    <w:p w:rsidR="00000000" w:rsidDel="00000000" w:rsidP="00000000" w:rsidRDefault="00000000" w:rsidRPr="00000000" w14:paraId="0000007E">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F">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0">
      <w:pPr>
        <w:spacing w:line="240" w:lineRule="auto"/>
        <w:rPr>
          <w:rFonts w:ascii="Arial Narrow" w:cs="Arial Narrow" w:eastAsia="Arial Narrow" w:hAnsi="Arial Narrow"/>
          <w:color w:val="ffffff"/>
          <w:sz w:val="24"/>
          <w:szCs w:val="24"/>
        </w:rPr>
      </w:pPr>
      <w:r w:rsidDel="00000000" w:rsidR="00000000" w:rsidRPr="00000000">
        <w:rPr>
          <w:rtl w:val="0"/>
        </w:rPr>
      </w:r>
    </w:p>
    <w:p w:rsidR="00000000" w:rsidDel="00000000" w:rsidP="00000000" w:rsidRDefault="00000000" w:rsidRPr="00000000" w14:paraId="00000081">
      <w:pPr>
        <w:spacing w:line="240" w:lineRule="auto"/>
        <w:rPr>
          <w:rFonts w:ascii="Arial Narrow" w:cs="Arial Narrow" w:eastAsia="Arial Narrow" w:hAnsi="Arial Narrow"/>
          <w:color w:val="ffffff"/>
          <w:sz w:val="24"/>
          <w:szCs w:val="24"/>
        </w:rPr>
      </w:pPr>
      <w:r w:rsidDel="00000000" w:rsidR="00000000" w:rsidRPr="00000000">
        <w:rPr>
          <w:rFonts w:ascii="Arial Narrow" w:cs="Arial Narrow" w:eastAsia="Arial Narrow" w:hAnsi="Arial Narrow"/>
          <w:color w:val="ffffff"/>
          <w:sz w:val="24"/>
          <w:szCs w:val="24"/>
          <w:rtl w:val="0"/>
        </w:rPr>
        <w:t xml:space="preserve">Great job erika, subtle enough - William</w:t>
      </w:r>
    </w:p>
    <w:p w:rsidR="00000000" w:rsidDel="00000000" w:rsidP="00000000" w:rsidRDefault="00000000" w:rsidRPr="00000000" w14:paraId="00000082">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3">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4">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5">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most favourably-weighted solution is implementing a set of regulatory guidelines within the TGA that mandates accessibility within the design for medical devices (i.e. the inclusion of Braille, talking devices, etc.). Chiefly, this solution would ensure that all over-the-counter, point-of-care tests would be accessible to low-vision and blind users, as well as other users with disabilities (e.g. auditory disabilities, motor disabilities, cognitive disabilities) from the point of implementation; although this is projected to result in higher manufacturing costs for end-users, per-test. Whilst the ideal solution, this is likely to be unfeasible within a short-term scale, and would likely have large-scale involvement from multiple government and private sectors, as well as disability peak bodies.</w:t>
      </w:r>
    </w:p>
    <w:p w:rsidR="00000000" w:rsidDel="00000000" w:rsidP="00000000" w:rsidRDefault="00000000" w:rsidRPr="00000000" w14:paraId="0000008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second most favourably-weighted solution refers to the development of a mobile application that utilises AI to provide descriptions of results towards end-users. The strengths of this mobile application include its provision of users with a cost-reducing alternative to conduct and interpret medical tests privately, and its ability to scale to accommodate all existing medical-device products within the Australian market. The weaknesses of this application predominantly revolve around the fact that it does not circumvent the requirement for fine-motor control imposed by standard designs for RAT tests. This a pertinent issue due to the fact that loss of fine-motor control occurs alongside ageing due to multifactorial aetiology (1), and that according to statistics from 2015, ageing population (i.e. individuals 65 years or older) forms a large proportion (70%) of blind and low-vision users (2). </w:t>
      </w:r>
    </w:p>
    <w:p w:rsidR="00000000" w:rsidDel="00000000" w:rsidP="00000000" w:rsidRDefault="00000000" w:rsidRPr="00000000" w14:paraId="0000008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Citations:</w:t>
      </w:r>
    </w:p>
    <w:p w:rsidR="00000000" w:rsidDel="00000000" w:rsidP="00000000" w:rsidRDefault="00000000" w:rsidRPr="00000000" w14:paraId="0000008C">
      <w:pPr>
        <w:numPr>
          <w:ilvl w:val="0"/>
          <w:numId w:val="2"/>
        </w:numPr>
        <w:spacing w:after="0" w:afterAutospacing="0" w:befor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Hoogendam YY, van der Lijn F, Vernooij MW, Hofman A, Niessen WJ, van der Lugt A, et al. Older age relates to worsening of fine motor skills: A population-based study of middle-aged and elderly persons. Frontiers in Aging Neuroscience. 2014;6.  </w:t>
      </w:r>
    </w:p>
    <w:p w:rsidR="00000000" w:rsidDel="00000000" w:rsidP="00000000" w:rsidRDefault="00000000" w:rsidRPr="00000000" w14:paraId="0000008D">
      <w:pPr>
        <w:numPr>
          <w:ilvl w:val="0"/>
          <w:numId w:val="2"/>
        </w:numPr>
        <w:spacing w:after="24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B. Ah Tong, G. Duff, G. Mullen and M. O’Neill, August 2015, A Snapshot of Blindness and Low Vision Services in Australia, Vision 2020 Australia, National Disability Services, Australian Blindness Forum, Sydney.</w:t>
      </w:r>
    </w:p>
    <w:p w:rsidR="00000000" w:rsidDel="00000000" w:rsidP="00000000" w:rsidRDefault="00000000" w:rsidRPr="00000000" w14:paraId="0000008E">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