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19050" distT="19050" distL="19050" distR="19050">
            <wp:extent cx="1393378" cy="585788"/>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93378" cy="585788"/>
                    </a:xfrm>
                    <a:prstGeom prst="rect"/>
                    <a:ln/>
                  </pic:spPr>
                </pic:pic>
              </a:graphicData>
            </a:graphic>
          </wp:inline>
        </w:drawing>
      </w:r>
      <w:r w:rsidDel="00000000" w:rsidR="00000000" w:rsidRPr="00000000">
        <w:rPr>
          <w:rFonts w:ascii="Calibri" w:cs="Calibri" w:eastAsia="Calibri" w:hAnsi="Calibri"/>
          <w:sz w:val="24"/>
          <w:szCs w:val="24"/>
        </w:rPr>
        <w:drawing>
          <wp:inline distB="19050" distT="19050" distL="19050" distR="19050">
            <wp:extent cx="1946529" cy="623888"/>
            <wp:effectExtent b="0" l="0" r="0" t="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946529" cy="623888"/>
                    </a:xfrm>
                    <a:prstGeom prst="rect"/>
                    <a:ln/>
                  </pic:spPr>
                </pic:pic>
              </a:graphicData>
            </a:graphic>
          </wp:inline>
        </w:drawing>
      </w:r>
      <w:r w:rsidDel="00000000" w:rsidR="00000000" w:rsidRPr="00000000">
        <w:rPr>
          <w:rFonts w:ascii="Calibri" w:cs="Calibri" w:eastAsia="Calibri" w:hAnsi="Calibri"/>
          <w:sz w:val="24"/>
          <w:szCs w:val="24"/>
        </w:rPr>
        <w:drawing>
          <wp:inline distB="19050" distT="19050" distL="19050" distR="19050">
            <wp:extent cx="1909763" cy="525623"/>
            <wp:effectExtent b="0" l="0" r="0" t="0"/>
            <wp:docPr id="3" name="image3.jpg"/>
            <a:graphic>
              <a:graphicData uri="http://schemas.openxmlformats.org/drawingml/2006/picture">
                <pic:pic>
                  <pic:nvPicPr>
                    <pic:cNvPr id="0" name="image3.jpg"/>
                    <pic:cNvPicPr preferRelativeResize="0"/>
                  </pic:nvPicPr>
                  <pic:blipFill>
                    <a:blip r:embed="rId8"/>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color w:val="006baa"/>
          <w:sz w:val="28"/>
          <w:szCs w:val="28"/>
          <w:rtl w:val="0"/>
        </w:rPr>
        <w:t xml:space="preserve">PROJECT NAME: Project Pluto</w:t>
      </w:r>
      <w:r w:rsidDel="00000000" w:rsidR="00000000" w:rsidRPr="00000000">
        <w:rPr>
          <w:rtl w:val="0"/>
        </w:rPr>
      </w:r>
    </w:p>
    <w:p w:rsidR="00000000" w:rsidDel="00000000" w:rsidP="00000000" w:rsidRDefault="00000000" w:rsidRPr="00000000" w14:paraId="00000004">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4 </w:t>
      </w:r>
    </w:p>
    <w:p w:rsidR="00000000" w:rsidDel="00000000" w:rsidP="00000000" w:rsidRDefault="00000000" w:rsidRPr="00000000" w14:paraId="00000005">
      <w:pPr>
        <w:spacing w:after="280" w:before="280" w:line="240" w:lineRule="auto"/>
        <w:rPr>
          <w:rFonts w:ascii="Arial Narrow" w:cs="Arial Narrow" w:eastAsia="Arial Narrow" w:hAnsi="Arial Narrow"/>
          <w:color w:val="006baa"/>
          <w:sz w:val="24"/>
          <w:szCs w:val="24"/>
        </w:rPr>
      </w:pPr>
      <w:r w:rsidDel="00000000" w:rsidR="00000000" w:rsidRPr="00000000">
        <w:rPr>
          <w:rFonts w:ascii="Arial Narrow" w:cs="Arial Narrow" w:eastAsia="Arial Narrow" w:hAnsi="Arial Narrow"/>
          <w:color w:val="006baa"/>
          <w:sz w:val="28"/>
          <w:szCs w:val="28"/>
          <w:rtl w:val="0"/>
        </w:rPr>
        <w:t xml:space="preserve">PROJECT LEAD:  Lloyd Lok</w:t>
      </w:r>
      <w:r w:rsidDel="00000000" w:rsidR="00000000" w:rsidRPr="00000000">
        <w:rPr>
          <w:rtl w:val="0"/>
        </w:rPr>
      </w:r>
    </w:p>
    <w:p w:rsidR="00000000" w:rsidDel="00000000" w:rsidP="00000000" w:rsidRDefault="00000000" w:rsidRPr="00000000" w14:paraId="00000006">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rtl w:val="0"/>
        </w:rPr>
        <w:t xml:space="preserve">Summary of current gold-standard:</w:t>
      </w:r>
      <w:r w:rsidDel="00000000" w:rsidR="00000000" w:rsidRPr="00000000">
        <w:rPr>
          <w:rtl w:val="0"/>
        </w:rPr>
      </w:r>
    </w:p>
    <w:p w:rsidR="00000000" w:rsidDel="00000000" w:rsidP="00000000" w:rsidRDefault="00000000" w:rsidRPr="00000000" w14:paraId="00000007">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8">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Currently, the initial step for diagnoses is a genital examination in a clinic, which involves a practitioner or clinician seeing and feeling a patient’s testicles for indication of size and shape, by comparing to an orchidometer. From this examination, practitioners may be prompted to send blood away for a karyotype analysis to confirm the diagnosis. The primary issues arising from this current method are the lack of patients that visit clinics, due to a combination of avoidance, intimidation and confrontation issues. Rather, the main reason patients ever visit clinics to get a check-up is due to infertility issues and less so due to testicular abnormalities. This is likely because the symptoms of testicular abnormalities are quite easily undetected, as compared to infertility. Therefore the alternative methods should ideally address testicular size, as this portion of the Klinefelter’s Syndrome patients are rarely diagnosed. Additionally, through the current and suggested solutions, Klinefelter’s Syndrome diagnosis is still required to be confirmed at clinics. If diagnosis is positive, patients will be provided the required treatment. </w:t>
      </w:r>
    </w:p>
    <w:p w:rsidR="00000000" w:rsidDel="00000000" w:rsidP="00000000" w:rsidRDefault="00000000" w:rsidRPr="00000000" w14:paraId="00000009">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0A">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0B">
      <w:pPr>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sz w:val="24"/>
          <w:szCs w:val="24"/>
          <w:rtl w:val="0"/>
        </w:rPr>
        <w:t xml:space="preserve">Pugh matrix:</w:t>
      </w:r>
      <w:r w:rsidDel="00000000" w:rsidR="00000000" w:rsidRPr="00000000">
        <w:rPr>
          <w:rtl w:val="0"/>
        </w:rPr>
      </w:r>
    </w:p>
    <w:p w:rsidR="00000000" w:rsidDel="00000000" w:rsidP="00000000" w:rsidRDefault="00000000" w:rsidRPr="00000000" w14:paraId="0000000C">
      <w:pPr>
        <w:spacing w:after="280" w:before="280"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Acceptance Criteria</w:t>
      </w:r>
    </w:p>
    <w:p w:rsidR="00000000" w:rsidDel="00000000" w:rsidP="00000000" w:rsidRDefault="00000000" w:rsidRPr="00000000" w14:paraId="0000000D">
      <w:pPr>
        <w:numPr>
          <w:ilvl w:val="0"/>
          <w:numId w:val="1"/>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solution will effectively initiate the diagnosis process.</w:t>
      </w:r>
    </w:p>
    <w:p w:rsidR="00000000" w:rsidDel="00000000" w:rsidP="00000000" w:rsidRDefault="00000000" w:rsidRPr="00000000" w14:paraId="0000000E">
      <w:pPr>
        <w:numPr>
          <w:ilvl w:val="0"/>
          <w:numId w:val="1"/>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solution is less confrontational and can be used by patients alone.</w:t>
      </w:r>
    </w:p>
    <w:p w:rsidR="00000000" w:rsidDel="00000000" w:rsidP="00000000" w:rsidRDefault="00000000" w:rsidRPr="00000000" w14:paraId="0000000F">
      <w:pPr>
        <w:numPr>
          <w:ilvl w:val="0"/>
          <w:numId w:val="1"/>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solution can be easily accessed by the user.</w:t>
      </w:r>
    </w:p>
    <w:p w:rsidR="00000000" w:rsidDel="00000000" w:rsidP="00000000" w:rsidRDefault="00000000" w:rsidRPr="00000000" w14:paraId="00000010">
      <w:pPr>
        <w:numPr>
          <w:ilvl w:val="0"/>
          <w:numId w:val="1"/>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solution can be easily utilised by the user.</w:t>
      </w:r>
    </w:p>
    <w:p w:rsidR="00000000" w:rsidDel="00000000" w:rsidP="00000000" w:rsidRDefault="00000000" w:rsidRPr="00000000" w14:paraId="00000011">
      <w:pPr>
        <w:numPr>
          <w:ilvl w:val="0"/>
          <w:numId w:val="1"/>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solution is safe, specifically the data obtained cannot be easily accessed or distributed without consent.</w:t>
      </w:r>
    </w:p>
    <w:p w:rsidR="00000000" w:rsidDel="00000000" w:rsidP="00000000" w:rsidRDefault="00000000" w:rsidRPr="00000000" w14:paraId="00000012">
      <w:pPr>
        <w:numPr>
          <w:ilvl w:val="0"/>
          <w:numId w:val="1"/>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solution focuses on examining the testicles.</w:t>
      </w:r>
    </w:p>
    <w:p w:rsidR="00000000" w:rsidDel="00000000" w:rsidP="00000000" w:rsidRDefault="00000000" w:rsidRPr="00000000" w14:paraId="00000013">
      <w:pPr>
        <w:numPr>
          <w:ilvl w:val="0"/>
          <w:numId w:val="1"/>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solution is low-cost to develop and maintain.</w:t>
      </w:r>
    </w:p>
    <w:p w:rsidR="00000000" w:rsidDel="00000000" w:rsidP="00000000" w:rsidRDefault="00000000" w:rsidRPr="00000000" w14:paraId="00000014">
      <w:pPr>
        <w:numPr>
          <w:ilvl w:val="0"/>
          <w:numId w:val="1"/>
        </w:numPr>
        <w:spacing w:line="240" w:lineRule="auto"/>
        <w:ind w:left="72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solution is time-efficient for the user.</w:t>
      </w:r>
    </w:p>
    <w:p w:rsidR="00000000" w:rsidDel="00000000" w:rsidP="00000000" w:rsidRDefault="00000000" w:rsidRPr="00000000" w14:paraId="00000015">
      <w:pPr>
        <w:spacing w:line="240" w:lineRule="auto"/>
        <w:ind w:left="72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6">
      <w:pPr>
        <w:spacing w:line="240" w:lineRule="auto"/>
        <w:ind w:left="720" w:firstLine="0"/>
        <w:rPr>
          <w:rFonts w:ascii="Arial Narrow" w:cs="Arial Narrow" w:eastAsia="Arial Narrow" w:hAnsi="Arial Narrow"/>
          <w:sz w:val="24"/>
          <w:szCs w:val="24"/>
        </w:rPr>
      </w:pPr>
      <w:r w:rsidDel="00000000" w:rsidR="00000000" w:rsidRPr="00000000">
        <w:rPr>
          <w:rtl w:val="0"/>
        </w:rPr>
      </w:r>
    </w:p>
    <w:tbl>
      <w:tblPr>
        <w:tblStyle w:val="Table1"/>
        <w:tblW w:w="14430.000000000002" w:type="dxa"/>
        <w:jc w:val="left"/>
        <w:tblInd w:w="-2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25"/>
        <w:gridCol w:w="1275"/>
        <w:gridCol w:w="945"/>
        <w:gridCol w:w="1797.0000000000002"/>
        <w:gridCol w:w="1797.0000000000002"/>
        <w:gridCol w:w="1797.0000000000002"/>
        <w:gridCol w:w="1797.0000000000002"/>
        <w:gridCol w:w="1797.0000000000002"/>
        <w:tblGridChange w:id="0">
          <w:tblGrid>
            <w:gridCol w:w="3225"/>
            <w:gridCol w:w="1275"/>
            <w:gridCol w:w="945"/>
            <w:gridCol w:w="1797.0000000000002"/>
            <w:gridCol w:w="1797.0000000000002"/>
            <w:gridCol w:w="1797.0000000000002"/>
            <w:gridCol w:w="1797.0000000000002"/>
            <w:gridCol w:w="1797.000000000000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color w:val="006ba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Arial Narrow" w:cs="Arial Narrow" w:eastAsia="Arial Narrow" w:hAnsi="Arial Narrow"/>
                <w:b w:val="1"/>
                <w:color w:val="006baa"/>
                <w:sz w:val="24"/>
                <w:szCs w:val="24"/>
              </w:rPr>
            </w:pPr>
            <w:r w:rsidDel="00000000" w:rsidR="00000000" w:rsidRPr="00000000">
              <w:rPr>
                <w:rFonts w:ascii="Arial Narrow" w:cs="Arial Narrow" w:eastAsia="Arial Narrow" w:hAnsi="Arial Narrow"/>
                <w:b w:val="1"/>
                <w:sz w:val="24"/>
                <w:szCs w:val="24"/>
                <w:rtl w:val="0"/>
              </w:rPr>
              <w:t xml:space="preserve">Current Gold Standard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Arial Narrow" w:cs="Arial Narrow" w:eastAsia="Arial Narrow" w:hAnsi="Arial Narrow"/>
                <w:b w:val="1"/>
                <w:color w:val="006baa"/>
                <w:sz w:val="24"/>
                <w:szCs w:val="24"/>
              </w:rPr>
            </w:pPr>
            <w:r w:rsidDel="00000000" w:rsidR="00000000" w:rsidRPr="00000000">
              <w:rPr>
                <w:rFonts w:ascii="Arial Narrow" w:cs="Arial Narrow" w:eastAsia="Arial Narrow" w:hAnsi="Arial Narrow"/>
                <w:b w:val="1"/>
                <w:sz w:val="24"/>
                <w:szCs w:val="24"/>
                <w:rtl w:val="0"/>
              </w:rPr>
              <w:t xml:space="preserve">Weight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Solution #1</w:t>
            </w:r>
          </w:p>
          <w:p w:rsidR="00000000" w:rsidDel="00000000" w:rsidP="00000000" w:rsidRDefault="00000000" w:rsidRPr="00000000" w14:paraId="0000001B">
            <w:pPr>
              <w:widowControl w:val="0"/>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Testicular size estimation app that'll interpret volumetric data and provide indication whether further steps should be taken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Solution #2 </w:t>
            </w:r>
          </w:p>
          <w:p w:rsidR="00000000" w:rsidDel="00000000" w:rsidP="00000000" w:rsidRDefault="00000000" w:rsidRPr="00000000" w14:paraId="0000001D">
            <w:pPr>
              <w:widowControl w:val="0"/>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 clinical decision support system that'll ask about some common first symptoms of KS patients, providing a next step response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Solution #3</w:t>
            </w:r>
          </w:p>
          <w:p w:rsidR="00000000" w:rsidDel="00000000" w:rsidP="00000000" w:rsidRDefault="00000000" w:rsidRPr="00000000" w14:paraId="0000001F">
            <w:pPr>
              <w:widowControl w:val="0"/>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An online chatbot, that contains many FAQs and how-tos for self-diagnosis of 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Solution #4</w:t>
            </w:r>
          </w:p>
          <w:p w:rsidR="00000000" w:rsidDel="00000000" w:rsidP="00000000" w:rsidRDefault="00000000" w:rsidRPr="00000000" w14:paraId="00000021">
            <w:pPr>
              <w:widowControl w:val="0"/>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Promoting </w:t>
            </w:r>
            <w:r w:rsidDel="00000000" w:rsidR="00000000" w:rsidRPr="00000000">
              <w:rPr>
                <w:rFonts w:ascii="Arial Narrow" w:cs="Arial Narrow" w:eastAsia="Arial Narrow" w:hAnsi="Arial Narrow"/>
                <w:sz w:val="24"/>
                <w:szCs w:val="24"/>
                <w:rtl w:val="0"/>
              </w:rPr>
              <w:t xml:space="preserve">telehealth consults so that patients can do examinations from home and in their own comfort, using an orchidometer through a step by step process over the phone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Solution #5</w:t>
            </w:r>
          </w:p>
          <w:p w:rsidR="00000000" w:rsidDel="00000000" w:rsidP="00000000" w:rsidRDefault="00000000" w:rsidRPr="00000000" w14:paraId="00000023">
            <w:pPr>
              <w:widowControl w:val="0"/>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Promotional devices or objects that are oval/egg shape that can be given out so individuals can have an idea whether their testicles are abnormal size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Acceptance Criteria #1</w:t>
            </w:r>
          </w:p>
          <w:p w:rsidR="00000000" w:rsidDel="00000000" w:rsidP="00000000" w:rsidRDefault="00000000" w:rsidRPr="00000000" w14:paraId="00000025">
            <w:pPr>
              <w:spacing w:line="240" w:lineRule="auto"/>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solution will effectively initiate the diagnosis process.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Arial Narrow" w:cs="Arial Narrow" w:eastAsia="Arial Narrow" w:hAnsi="Arial Narrow"/>
                <w:color w:val="006baa"/>
                <w:sz w:val="24"/>
                <w:szCs w:val="24"/>
              </w:rPr>
            </w:pPr>
            <w:r w:rsidDel="00000000" w:rsidR="00000000" w:rsidRPr="00000000">
              <w:rPr>
                <w:rFonts w:ascii="Arial Narrow" w:cs="Arial Narrow" w:eastAsia="Arial Narrow" w:hAnsi="Arial Narrow"/>
                <w:sz w:val="24"/>
                <w:szCs w:val="24"/>
                <w:rtl w:val="0"/>
              </w:rPr>
              <w:t xml:space="preserve">Baseline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Acceptance Criteria #2</w:t>
            </w:r>
          </w:p>
          <w:p w:rsidR="00000000" w:rsidDel="00000000" w:rsidP="00000000" w:rsidRDefault="00000000" w:rsidRPr="00000000" w14:paraId="0000002E">
            <w:pPr>
              <w:spacing w:line="240" w:lineRule="auto"/>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solution is less confrontational and can be used by patients alone.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Arial Narrow" w:cs="Arial Narrow" w:eastAsia="Arial Narrow" w:hAnsi="Arial Narrow"/>
                <w:color w:val="006baa"/>
                <w:sz w:val="24"/>
                <w:szCs w:val="24"/>
              </w:rPr>
            </w:pPr>
            <w:r w:rsidDel="00000000" w:rsidR="00000000" w:rsidRPr="00000000">
              <w:rPr>
                <w:rFonts w:ascii="Arial Narrow" w:cs="Arial Narrow" w:eastAsia="Arial Narrow" w:hAnsi="Arial Narrow"/>
                <w:sz w:val="24"/>
                <w:szCs w:val="24"/>
                <w:rtl w:val="0"/>
              </w:rPr>
              <w:t xml:space="preserve">Baseline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Acceptance Criteria #3</w:t>
            </w:r>
          </w:p>
          <w:p w:rsidR="00000000" w:rsidDel="00000000" w:rsidP="00000000" w:rsidRDefault="00000000" w:rsidRPr="00000000" w14:paraId="00000037">
            <w:pPr>
              <w:spacing w:line="240" w:lineRule="auto"/>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solution can be easily accessed by the user.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Arial Narrow" w:cs="Arial Narrow" w:eastAsia="Arial Narrow" w:hAnsi="Arial Narrow"/>
                <w:color w:val="006baa"/>
                <w:sz w:val="24"/>
                <w:szCs w:val="24"/>
              </w:rPr>
            </w:pPr>
            <w:r w:rsidDel="00000000" w:rsidR="00000000" w:rsidRPr="00000000">
              <w:rPr>
                <w:rFonts w:ascii="Arial Narrow" w:cs="Arial Narrow" w:eastAsia="Arial Narrow" w:hAnsi="Arial Narrow"/>
                <w:sz w:val="24"/>
                <w:szCs w:val="24"/>
                <w:rtl w:val="0"/>
              </w:rPr>
              <w:t xml:space="preserve">Baseline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Acceptance Criteria #4</w:t>
            </w:r>
          </w:p>
          <w:p w:rsidR="00000000" w:rsidDel="00000000" w:rsidP="00000000" w:rsidRDefault="00000000" w:rsidRPr="00000000" w14:paraId="00000040">
            <w:pPr>
              <w:spacing w:line="240" w:lineRule="auto"/>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solution can be easily utilised by the user.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Arial Narrow" w:cs="Arial Narrow" w:eastAsia="Arial Narrow" w:hAnsi="Arial Narrow"/>
                <w:color w:val="006baa"/>
                <w:sz w:val="24"/>
                <w:szCs w:val="24"/>
              </w:rPr>
            </w:pPr>
            <w:r w:rsidDel="00000000" w:rsidR="00000000" w:rsidRPr="00000000">
              <w:rPr>
                <w:rFonts w:ascii="Arial Narrow" w:cs="Arial Narrow" w:eastAsia="Arial Narrow" w:hAnsi="Arial Narrow"/>
                <w:sz w:val="24"/>
                <w:szCs w:val="24"/>
                <w:rtl w:val="0"/>
              </w:rPr>
              <w:t xml:space="preserve">Baseline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Acceptance Criteria #5</w:t>
            </w:r>
          </w:p>
          <w:p w:rsidR="00000000" w:rsidDel="00000000" w:rsidP="00000000" w:rsidRDefault="00000000" w:rsidRPr="00000000" w14:paraId="00000049">
            <w:pPr>
              <w:spacing w:line="240" w:lineRule="auto"/>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solution is safe, specifically the data obtained cannot be easily accessed or distributed without consent.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Arial Narrow" w:cs="Arial Narrow" w:eastAsia="Arial Narrow" w:hAnsi="Arial Narrow"/>
                <w:color w:val="006baa"/>
                <w:sz w:val="24"/>
                <w:szCs w:val="24"/>
              </w:rPr>
            </w:pPr>
            <w:r w:rsidDel="00000000" w:rsidR="00000000" w:rsidRPr="00000000">
              <w:rPr>
                <w:rFonts w:ascii="Arial Narrow" w:cs="Arial Narrow" w:eastAsia="Arial Narrow" w:hAnsi="Arial Narrow"/>
                <w:sz w:val="24"/>
                <w:szCs w:val="24"/>
                <w:rtl w:val="0"/>
              </w:rPr>
              <w:t xml:space="preserve">Baseline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Acceptance Criteria #6</w:t>
            </w:r>
          </w:p>
          <w:p w:rsidR="00000000" w:rsidDel="00000000" w:rsidP="00000000" w:rsidRDefault="00000000" w:rsidRPr="00000000" w14:paraId="00000052">
            <w:pPr>
              <w:spacing w:line="240" w:lineRule="auto"/>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solution focuses on examining the testicles.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rFonts w:ascii="Arial Narrow" w:cs="Arial Narrow" w:eastAsia="Arial Narrow" w:hAnsi="Arial Narrow"/>
                <w:color w:val="006baa"/>
                <w:sz w:val="24"/>
                <w:szCs w:val="24"/>
              </w:rPr>
            </w:pPr>
            <w:r w:rsidDel="00000000" w:rsidR="00000000" w:rsidRPr="00000000">
              <w:rPr>
                <w:rFonts w:ascii="Arial Narrow" w:cs="Arial Narrow" w:eastAsia="Arial Narrow" w:hAnsi="Arial Narrow"/>
                <w:sz w:val="24"/>
                <w:szCs w:val="24"/>
                <w:rtl w:val="0"/>
              </w:rPr>
              <w:t xml:space="preserve">Baseline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Acceptance Criteria #7</w:t>
            </w:r>
          </w:p>
          <w:p w:rsidR="00000000" w:rsidDel="00000000" w:rsidP="00000000" w:rsidRDefault="00000000" w:rsidRPr="00000000" w14:paraId="0000005B">
            <w:pPr>
              <w:spacing w:line="240" w:lineRule="auto"/>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solution is low-cost to develop and maintain.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Arial Narrow" w:cs="Arial Narrow" w:eastAsia="Arial Narrow" w:hAnsi="Arial Narrow"/>
                <w:color w:val="006baa"/>
                <w:sz w:val="24"/>
                <w:szCs w:val="24"/>
              </w:rPr>
            </w:pPr>
            <w:r w:rsidDel="00000000" w:rsidR="00000000" w:rsidRPr="00000000">
              <w:rPr>
                <w:rFonts w:ascii="Arial Narrow" w:cs="Arial Narrow" w:eastAsia="Arial Narrow" w:hAnsi="Arial Narrow"/>
                <w:sz w:val="24"/>
                <w:szCs w:val="24"/>
                <w:rtl w:val="0"/>
              </w:rPr>
              <w:t xml:space="preserve">Baseline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Acceptance Criteria #8</w:t>
            </w:r>
          </w:p>
          <w:p w:rsidR="00000000" w:rsidDel="00000000" w:rsidP="00000000" w:rsidRDefault="00000000" w:rsidRPr="00000000" w14:paraId="00000064">
            <w:pPr>
              <w:spacing w:line="240" w:lineRule="auto"/>
              <w:ind w:left="0" w:firstLine="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solution is time-efficient for the user.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rFonts w:ascii="Arial Narrow" w:cs="Arial Narrow" w:eastAsia="Arial Narrow" w:hAnsi="Arial Narrow"/>
                <w:color w:val="006baa"/>
                <w:sz w:val="24"/>
                <w:szCs w:val="24"/>
              </w:rPr>
            </w:pPr>
            <w:r w:rsidDel="00000000" w:rsidR="00000000" w:rsidRPr="00000000">
              <w:rPr>
                <w:rFonts w:ascii="Arial Narrow" w:cs="Arial Narrow" w:eastAsia="Arial Narrow" w:hAnsi="Arial Narrow"/>
                <w:sz w:val="24"/>
                <w:szCs w:val="24"/>
                <w:rtl w:val="0"/>
              </w:rPr>
              <w:t xml:space="preserve">Baseline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rFonts w:ascii="Arial Narrow" w:cs="Arial Narrow" w:eastAsia="Arial Narrow" w:hAnsi="Arial Narrow"/>
                <w:color w:val="006baa"/>
                <w:sz w:val="24"/>
                <w:szCs w:val="24"/>
              </w:rPr>
            </w:pPr>
            <w:r w:rsidDel="00000000" w:rsidR="00000000" w:rsidRPr="00000000">
              <w:rPr>
                <w:rFonts w:ascii="Arial Narrow" w:cs="Arial Narrow" w:eastAsia="Arial Narrow" w:hAnsi="Arial Narrow"/>
                <w:sz w:val="24"/>
                <w:szCs w:val="24"/>
                <w:rtl w:val="0"/>
              </w:rPr>
              <w:t xml:space="preserve">Total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Arial Narrow" w:cs="Arial Narrow" w:eastAsia="Arial Narrow" w:hAnsi="Arial Narrow"/>
                <w:color w:val="006baa"/>
                <w:sz w:val="24"/>
                <w:szCs w:val="24"/>
              </w:rPr>
            </w:pPr>
            <w:r w:rsidDel="00000000" w:rsidR="00000000" w:rsidRPr="00000000">
              <w:rPr>
                <w:rFonts w:ascii="Arial Narrow" w:cs="Arial Narrow" w:eastAsia="Arial Narrow" w:hAnsi="Arial Narrow"/>
                <w:sz w:val="24"/>
                <w:szCs w:val="24"/>
                <w:rtl w:val="0"/>
              </w:rPr>
              <w:t xml:space="preserve">Baseline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-4</w:t>
            </w:r>
          </w:p>
        </w:tc>
      </w:tr>
    </w:tbl>
    <w:p w:rsidR="00000000" w:rsidDel="00000000" w:rsidP="00000000" w:rsidRDefault="00000000" w:rsidRPr="00000000" w14:paraId="00000074">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75">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rtl w:val="0"/>
        </w:rPr>
        <w:t xml:space="preserve">Final verdict:</w:t>
      </w:r>
      <w:r w:rsidDel="00000000" w:rsidR="00000000" w:rsidRPr="00000000">
        <w:rPr>
          <w:rtl w:val="0"/>
        </w:rPr>
      </w:r>
    </w:p>
    <w:p w:rsidR="00000000" w:rsidDel="00000000" w:rsidP="00000000" w:rsidRDefault="00000000" w:rsidRPr="00000000" w14:paraId="00000076">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most favourably weighted solution is to use telehealth consultations for genital examinations. Telehealth platforms already exist, which have been beneficial for patient-clinician check-ups during COVID lockdowns. Telehealth consultations are still used now and clinicians could find benefit in using the platform for genital examinations. Testicular size of Klinefelter’s Syndrome patients is typically quite distinguishable as compared to non-patients, therefore if patients can have some guidance to completing a genital examination, this could easily increase the number of patients transferred to clinics. Furthermore, this solution also targets the confrontational aspect that is associated with clinical genital examinations, as patients would instead be examining themselves. The primary issue with this suggestion is how accessible an orchidometer or a similar instrument/object will be for patients.</w:t>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