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EBoard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Sahil Bhatia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rFonts w:ascii="Arial Narrow" w:cs="Arial Narrow" w:eastAsia="Arial Narrow" w:hAnsi="Arial Narrow"/>
          <w:b w:val="1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40"/>
          <w:szCs w:val="40"/>
          <w:rtl w:val="0"/>
        </w:rPr>
        <w:t xml:space="preserve">Stakeholder Map</w:t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Link: </w:t>
      </w:r>
      <w:hyperlink r:id="rId10">
        <w:r w:rsidDel="00000000" w:rsidR="00000000" w:rsidRPr="00000000">
          <w:rPr>
            <w:rFonts w:ascii="Arial Narrow" w:cs="Arial Narrow" w:eastAsia="Arial Narrow" w:hAnsi="Arial Narrow"/>
            <w:color w:val="1155cc"/>
            <w:sz w:val="22"/>
            <w:szCs w:val="22"/>
            <w:u w:val="single"/>
            <w:rtl w:val="0"/>
          </w:rPr>
          <w:t xml:space="preserve">https://miro.com/app/board/uXjVP6krBzI=/</w:t>
        </w:r>
      </w:hyperlink>
      <w:r w:rsidDel="00000000" w:rsidR="00000000" w:rsidRPr="00000000">
        <w:rPr>
          <w:rFonts w:ascii="Arial Narrow" w:cs="Arial Narrow" w:eastAsia="Arial Narrow" w:hAnsi="Arial Narrow"/>
          <w:b w:val="1"/>
          <w:sz w:val="40"/>
          <w:szCs w:val="4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*please note: the stakeholder map is next to the systems map*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5731200" cy="3937000"/>
            <wp:effectExtent b="0" l="0" r="0" t="0"/>
            <wp:docPr id="2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 Narrow" w:cs="Arial Narrow" w:eastAsia="Arial Narrow" w:hAnsi="Arial Narrow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40"/>
          <w:szCs w:val="40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Link: </w:t>
      </w:r>
      <w:hyperlink r:id="rId12">
        <w:r w:rsidDel="00000000" w:rsidR="00000000" w:rsidRPr="00000000">
          <w:rPr>
            <w:rFonts w:ascii="Arial Narrow" w:cs="Arial Narrow" w:eastAsia="Arial Narrow" w:hAnsi="Arial Narrow"/>
            <w:color w:val="1155cc"/>
            <w:sz w:val="22"/>
            <w:szCs w:val="22"/>
            <w:u w:val="single"/>
            <w:rtl w:val="0"/>
          </w:rPr>
          <w:t xml:space="preserve">https://miro.com/app/board/uXjVP6krBzI=/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5731200" cy="4216400"/>
            <wp:effectExtent b="0" l="0" r="0" t="0"/>
            <wp:docPr id="2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1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Arial Narrow" w:cs="Arial Narrow" w:eastAsia="Arial Narrow" w:hAnsi="Arial Narrow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40"/>
          <w:szCs w:val="40"/>
          <w:rtl w:val="0"/>
        </w:rPr>
        <w:t xml:space="preserve">Solutions Ideation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#1: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Affordable for hospitals, given that it is a one-off cost (as opposed to being subscription-based) to purchase the electronic whiteboards for emergency department rooms;</w:t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#2: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Improves patient satisfaction, given that patients will be better informed of their stay in the hospital and other pertinent health-related details;</w:t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#3: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Improves clinician satisfaction, both as a byproduct of patient satisfaction increasing and workflow cohesiveness improving; </w:t>
      </w:r>
    </w:p>
    <w:p w:rsidR="00000000" w:rsidDel="00000000" w:rsidP="00000000" w:rsidRDefault="00000000" w:rsidRPr="00000000" w14:paraId="0000003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#4: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Smartphones can potentially be used, in combination with a physical digital whiteboard, to display the information (assuming the solution involves directly inputting information as opposed to automatically from the EMR itself)</w:t>
      </w:r>
    </w:p>
    <w:p w:rsidR="00000000" w:rsidDel="00000000" w:rsidP="00000000" w:rsidRDefault="00000000" w:rsidRPr="00000000" w14:paraId="0000003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Criteria #5: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Static whiteboards are rarely utilised in the emergency department due to the inconvenience of manually inputting information </w:t>
      </w:r>
    </w:p>
    <w:p w:rsidR="00000000" w:rsidDel="00000000" w:rsidP="00000000" w:rsidRDefault="00000000" w:rsidRPr="00000000" w14:paraId="0000003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  <w:color w:val="00ff00"/>
          <w:sz w:val="22"/>
          <w:szCs w:val="22"/>
          <w:highlight w:val="green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Completely Addresses Criteria = </w:t>
      </w:r>
      <w:r w:rsidDel="00000000" w:rsidR="00000000" w:rsidRPr="00000000">
        <w:rPr>
          <w:rFonts w:ascii="Arial Narrow" w:cs="Arial Narrow" w:eastAsia="Arial Narrow" w:hAnsi="Arial Narrow"/>
          <w:color w:val="00ff00"/>
          <w:sz w:val="22"/>
          <w:szCs w:val="22"/>
          <w:highlight w:val="green"/>
          <w:rtl w:val="0"/>
        </w:rPr>
        <w:t xml:space="preserve">Green</w:t>
      </w:r>
    </w:p>
    <w:p w:rsidR="00000000" w:rsidDel="00000000" w:rsidP="00000000" w:rsidRDefault="00000000" w:rsidRPr="00000000" w14:paraId="0000003D">
      <w:pPr>
        <w:rPr>
          <w:rFonts w:ascii="Arial Narrow" w:cs="Arial Narrow" w:eastAsia="Arial Narrow" w:hAnsi="Arial Narrow"/>
          <w:color w:val="ffff00"/>
          <w:sz w:val="22"/>
          <w:szCs w:val="22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Partially Addresses Criteria = </w:t>
      </w:r>
      <w:r w:rsidDel="00000000" w:rsidR="00000000" w:rsidRPr="00000000">
        <w:rPr>
          <w:rFonts w:ascii="Arial Narrow" w:cs="Arial Narrow" w:eastAsia="Arial Narrow" w:hAnsi="Arial Narrow"/>
          <w:color w:val="ffff00"/>
          <w:sz w:val="22"/>
          <w:szCs w:val="22"/>
          <w:highlight w:val="yellow"/>
          <w:rtl w:val="0"/>
        </w:rPr>
        <w:t xml:space="preserve">Yellow</w:t>
      </w:r>
    </w:p>
    <w:p w:rsidR="00000000" w:rsidDel="00000000" w:rsidP="00000000" w:rsidRDefault="00000000" w:rsidRPr="00000000" w14:paraId="0000003E">
      <w:pPr>
        <w:rPr>
          <w:rFonts w:ascii="Arial Narrow" w:cs="Arial Narrow" w:eastAsia="Arial Narrow" w:hAnsi="Arial Narrow"/>
          <w:color w:val="ff0000"/>
          <w:sz w:val="22"/>
          <w:szCs w:val="22"/>
          <w:highlight w:val="red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Does Not Address Criteria = </w:t>
      </w:r>
      <w:r w:rsidDel="00000000" w:rsidR="00000000" w:rsidRPr="00000000">
        <w:rPr>
          <w:rFonts w:ascii="Arial Narrow" w:cs="Arial Narrow" w:eastAsia="Arial Narrow" w:hAnsi="Arial Narrow"/>
          <w:color w:val="ff0000"/>
          <w:sz w:val="22"/>
          <w:szCs w:val="22"/>
          <w:highlight w:val="red"/>
          <w:rtl w:val="0"/>
        </w:rPr>
        <w:t xml:space="preserve">RedRe</w:t>
      </w:r>
    </w:p>
    <w:p w:rsidR="00000000" w:rsidDel="00000000" w:rsidP="00000000" w:rsidRDefault="00000000" w:rsidRPr="00000000" w14:paraId="0000003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20"/>
        <w:gridCol w:w="900"/>
        <w:gridCol w:w="900"/>
        <w:gridCol w:w="900"/>
        <w:gridCol w:w="900"/>
        <w:gridCol w:w="900"/>
        <w:tblGridChange w:id="0">
          <w:tblGrid>
            <w:gridCol w:w="4020"/>
            <w:gridCol w:w="900"/>
            <w:gridCol w:w="900"/>
            <w:gridCol w:w="900"/>
            <w:gridCol w:w="900"/>
            <w:gridCol w:w="9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digital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portable tablet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solution that displays the patient’s EMR information.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b w:val="1"/>
                <w:color w:val="ffff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watch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solution that, upon scrolling through, allows patients to view information in the most condensed way (friendly user interface).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VR glasses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that, upon wearing, allow patients to see their own EMR data. A “physician version” VR glasses version can be made that displays all patient EMR data.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TV screen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, attached to the patient’s bedroom wall, that displays their EMR data.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mobile phone application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that connects to every hospital EMR. Patients can use this app to access their EMR and health data.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QR code system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, placed in each hospital bedroom and connected to each patient’s EMR data. Upon scanning the QR codes, patients can access their EMR data.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private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encrypted video communication application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, that doctors can use to video call patients, to explain to them their test results and upcoming schedules.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“smart patient wristband”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with a QR code that, upon scanning with a mobile phone, can be used to view a patient’s key information.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Education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on how to use whiteboards efficiently and effectively - training staff members.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An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iPad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in every patient room for the patient to keep track of their health information, doctors/nurses names and medications in the hospital.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self-reporting application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for patients to use in real time, to report their own symptoms and jot down their questions (this information is sent to the staff members).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Clinicians can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record voice memo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summaries with important information for that day - patients can play this recording whenever they want.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One page summary solution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, whereby a one page summary of the patients’ EMR data, using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natural language processing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. This can be printed and given to patients.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Staff members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write down important dot points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on a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sticky note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, such as “Physician: Dr Smith, Upcoming MRI at 1pm”, etc, and this can be given to the patients.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Staff members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can spend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1-2 minutes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u w:val="single"/>
                <w:rtl w:val="0"/>
              </w:rPr>
              <w:t xml:space="preserve">vocally summarising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to each patient their upcoming schedules, clinical goals and answering any questions they have.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rFonts w:ascii="Arial Narrow" w:cs="Arial Narrow" w:eastAsia="Arial Narrow" w:hAnsi="Arial Narrow"/>
                <w:b w:val="1"/>
                <w:color w:val="ff0000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2"/>
                <w:szCs w:val="22"/>
                <w:highlight w:val="red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00"/>
                <w:sz w:val="22"/>
                <w:szCs w:val="22"/>
                <w:highlight w:val="yellow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rFonts w:ascii="Arial Narrow" w:cs="Arial Narrow" w:eastAsia="Arial Narrow" w:hAnsi="Arial Narrow"/>
                <w:b w:val="1"/>
                <w:color w:val="00ff00"/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ff00"/>
                <w:sz w:val="22"/>
                <w:szCs w:val="22"/>
                <w:highlight w:val="green"/>
                <w:rtl w:val="0"/>
              </w:rPr>
              <w:t xml:space="preserve">YelYellowYellowYellowlo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hyperlink" Target="https://miro.com/app/board/uXjVP6krBzI=/" TargetMode="External"/><Relationship Id="rId13" Type="http://schemas.openxmlformats.org/officeDocument/2006/relationships/image" Target="media/image5.png"/><Relationship Id="rId12" Type="http://schemas.openxmlformats.org/officeDocument/2006/relationships/hyperlink" Target="https://miro.com/app/board/uXjVP6krBzI=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8whvqmWJA1GcogAojblJzZ00/w==">AMUW2mXprSn/Vz8/2nzsGJQbnSlAU6KKFkLx0XbJf+y3zgt2/SJYCcuv1+kWpgQY5R1vLfAH6DvT7H7KLgb7cuWA17VFzXpa+y2QdAlOVl8Z3v2aBkEBE+w=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