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2384425" cy="544195"/>
            <wp:effectExtent b="0" l="0" r="0" t="0"/>
            <wp:docPr descr="page1image16325856" id="3" name="image1.png"/>
            <a:graphic>
              <a:graphicData uri="http://schemas.openxmlformats.org/drawingml/2006/picture">
                <pic:pic>
                  <pic:nvPicPr>
                    <pic:cNvPr descr="page1image16325856" id="0" name="image1.png"/>
                    <pic:cNvPicPr preferRelativeResize="0"/>
                  </pic:nvPicPr>
                  <pic:blipFill>
                    <a:blip r:embed="rId6"/>
                    <a:srcRect b="0" l="0" r="0" t="0"/>
                    <a:stretch>
                      <a:fillRect/>
                    </a:stretch>
                  </pic:blipFill>
                  <pic:spPr>
                    <a:xfrm>
                      <a:off x="0" y="0"/>
                      <a:ext cx="2384425" cy="544195"/>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-495</wp:posOffset>
            </wp:positionH>
            <wp:positionV relativeFrom="paragraph">
              <wp:posOffset>-116049</wp:posOffset>
            </wp:positionV>
            <wp:extent cx="1076325" cy="300990"/>
            <wp:effectExtent b="0" l="0" r="0" t="0"/>
            <wp:wrapNone/>
            <wp:docPr descr="page1image33476464" id="4" name="image4.png"/>
            <a:graphic>
              <a:graphicData uri="http://schemas.openxmlformats.org/drawingml/2006/picture">
                <pic:pic>
                  <pic:nvPicPr>
                    <pic:cNvPr descr="page1image33476464" id="0" name="image4.png"/>
                    <pic:cNvPicPr preferRelativeResize="0"/>
                  </pic:nvPicPr>
                  <pic:blipFill>
                    <a:blip r:embed="rId7"/>
                    <a:srcRect b="0" l="0" r="0" t="0"/>
                    <a:stretch>
                      <a:fillRect/>
                    </a:stretch>
                  </pic:blipFill>
                  <pic:spPr>
                    <a:xfrm>
                      <a:off x="0" y="0"/>
                      <a:ext cx="1076325" cy="30099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2168901</wp:posOffset>
            </wp:positionH>
            <wp:positionV relativeFrom="paragraph">
              <wp:posOffset>-266063</wp:posOffset>
            </wp:positionV>
            <wp:extent cx="2037080" cy="648335"/>
            <wp:effectExtent b="0" l="0" r="0" t="0"/>
            <wp:wrapNone/>
            <wp:docPr descr="page1image33476880" id="2" name="image5.jpg"/>
            <a:graphic>
              <a:graphicData uri="http://schemas.openxmlformats.org/drawingml/2006/picture">
                <pic:pic>
                  <pic:nvPicPr>
                    <pic:cNvPr descr="page1image33476880" id="0" name="image5.jpg"/>
                    <pic:cNvPicPr preferRelativeResize="0"/>
                  </pic:nvPicPr>
                  <pic:blipFill>
                    <a:blip r:embed="rId8"/>
                    <a:srcRect b="0" l="0" r="0" t="0"/>
                    <a:stretch>
                      <a:fillRect/>
                    </a:stretch>
                  </pic:blipFill>
                  <pic:spPr>
                    <a:xfrm>
                      <a:off x="0" y="0"/>
                      <a:ext cx="2037080" cy="64833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4607560</wp:posOffset>
            </wp:positionH>
            <wp:positionV relativeFrom="paragraph">
              <wp:posOffset>-231773</wp:posOffset>
            </wp:positionV>
            <wp:extent cx="1157605" cy="486410"/>
            <wp:effectExtent b="0" l="0" r="0" t="0"/>
            <wp:wrapNone/>
            <wp:docPr descr="page1image33479168" id="5" name="image2.png"/>
            <a:graphic>
              <a:graphicData uri="http://schemas.openxmlformats.org/drawingml/2006/picture">
                <pic:pic>
                  <pic:nvPicPr>
                    <pic:cNvPr descr="page1image33479168" id="0" name="image2.png"/>
                    <pic:cNvPicPr preferRelativeResize="0"/>
                  </pic:nvPicPr>
                  <pic:blipFill>
                    <a:blip r:embed="rId9"/>
                    <a:srcRect b="0" l="0" r="0" t="0"/>
                    <a:stretch>
                      <a:fillRect/>
                    </a:stretch>
                  </pic:blipFill>
                  <pic:spPr>
                    <a:xfrm>
                      <a:off x="0" y="0"/>
                      <a:ext cx="1157605" cy="48641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1238426</wp:posOffset>
            </wp:positionH>
            <wp:positionV relativeFrom="paragraph">
              <wp:posOffset>-255107</wp:posOffset>
            </wp:positionV>
            <wp:extent cx="682625" cy="509270"/>
            <wp:effectExtent b="0" l="0" r="0" t="0"/>
            <wp:wrapNone/>
            <wp:docPr descr="page1image33479584" id="1" name="image3.png"/>
            <a:graphic>
              <a:graphicData uri="http://schemas.openxmlformats.org/drawingml/2006/picture">
                <pic:pic>
                  <pic:nvPicPr>
                    <pic:cNvPr descr="page1image33479584" id="0" name="image3.png"/>
                    <pic:cNvPicPr preferRelativeResize="0"/>
                  </pic:nvPicPr>
                  <pic:blipFill>
                    <a:blip r:embed="rId10"/>
                    <a:srcRect b="0" l="0" r="0" t="0"/>
                    <a:stretch>
                      <a:fillRect/>
                    </a:stretch>
                  </pic:blipFill>
                  <pic:spPr>
                    <a:xfrm>
                      <a:off x="0" y="0"/>
                      <a:ext cx="682625" cy="509270"/>
                    </a:xfrm>
                    <a:prstGeom prst="rect"/>
                    <a:ln/>
                  </pic:spPr>
                </pic:pic>
              </a:graphicData>
            </a:graphic>
          </wp:anchor>
        </w:drawing>
      </w:r>
    </w:p>
    <w:p w:rsidR="00000000" w:rsidDel="00000000" w:rsidP="00000000" w:rsidRDefault="00000000" w:rsidRPr="00000000" w14:paraId="00000002">
      <w:pPr>
        <w:spacing w:after="280" w:before="280" w:line="240" w:lineRule="auto"/>
        <w:rPr>
          <w:rFonts w:ascii="Times New Roman" w:cs="Times New Roman" w:eastAsia="Times New Roman" w:hAnsi="Times New Roman"/>
          <w:sz w:val="24"/>
          <w:szCs w:val="24"/>
        </w:rPr>
      </w:pPr>
      <w:r w:rsidDel="00000000" w:rsidR="00000000" w:rsidRPr="00000000">
        <w:rPr>
          <w:rFonts w:ascii="Arial Narrow" w:cs="Arial Narrow" w:eastAsia="Arial Narrow" w:hAnsi="Arial Narrow"/>
          <w:b w:val="1"/>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24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THEIA: ENHANCING ACCESSIBILITY OF RAPID-ANTIGEN-TESTS FOR BLIND &amp; LOW-VISION USERS</w:t>
      </w:r>
    </w:p>
    <w:p w:rsidR="00000000" w:rsidDel="00000000" w:rsidP="00000000" w:rsidRDefault="00000000" w:rsidRPr="00000000" w14:paraId="00000004">
      <w:pPr>
        <w:spacing w:after="280" w:before="280" w:line="24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WEEK 3</w:t>
      </w:r>
    </w:p>
    <w:p w:rsidR="00000000" w:rsidDel="00000000" w:rsidP="00000000" w:rsidRDefault="00000000" w:rsidRPr="00000000" w14:paraId="00000005">
      <w:pPr>
        <w:widowControl w:val="0"/>
        <w:spacing w:after="200" w:before="274.70703125" w:line="240" w:lineRule="auto"/>
        <w:ind w:left="18.170318603515625" w:firstLine="0"/>
        <w:rPr>
          <w:rFonts w:ascii="Arial Narrow" w:cs="Arial Narrow" w:eastAsia="Arial Narrow" w:hAnsi="Arial Narrow"/>
          <w:color w:val="006baa"/>
          <w:sz w:val="28.079999923706055"/>
          <w:szCs w:val="28.079999923706055"/>
        </w:rPr>
      </w:pPr>
      <w:r w:rsidDel="00000000" w:rsidR="00000000" w:rsidRPr="00000000">
        <w:rPr>
          <w:rFonts w:ascii="Arial Narrow" w:cs="Arial Narrow" w:eastAsia="Arial Narrow" w:hAnsi="Arial Narrow"/>
          <w:color w:val="006baa"/>
          <w:sz w:val="28.079999923706055"/>
          <w:szCs w:val="28.079999923706055"/>
          <w:rtl w:val="0"/>
        </w:rPr>
        <w:t xml:space="preserve">PROJECT MEMBERS: WILLIAM CHEN, ERIKA LAY</w:t>
      </w:r>
    </w:p>
    <w:p w:rsidR="00000000" w:rsidDel="00000000" w:rsidP="00000000" w:rsidRDefault="00000000" w:rsidRPr="00000000" w14:paraId="00000006">
      <w:pPr>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1.1 Existing Solutions:</w:t>
      </w:r>
    </w:p>
    <w:p w:rsidR="00000000" w:rsidDel="00000000" w:rsidP="00000000" w:rsidRDefault="00000000" w:rsidRPr="00000000" w14:paraId="00000007">
      <w:pPr>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Please refer Sheet 1 of the attached link: </w:t>
      </w:r>
      <w:hyperlink r:id="rId11">
        <w:r w:rsidDel="00000000" w:rsidR="00000000" w:rsidRPr="00000000">
          <w:rPr>
            <w:rFonts w:ascii="Arial Narrow" w:cs="Arial Narrow" w:eastAsia="Arial Narrow" w:hAnsi="Arial Narrow"/>
            <w:color w:val="1155cc"/>
            <w:u w:val="single"/>
            <w:rtl w:val="0"/>
          </w:rPr>
          <w:t xml:space="preserve">https://docs.google.com/spreadsheets/d/1uahONZIyu5vjaRDZMPjBI-KmJIVR5ty6zoqi9-AycNc/edit?usp=share_link</w:t>
        </w:r>
      </w:hyperlink>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008">
      <w:pPr>
        <w:spacing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9">
      <w:pPr>
        <w:spacing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A">
      <w:pPr>
        <w:spacing w:line="240" w:lineRule="auto"/>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1.2 Solutions Alignment:</w:t>
      </w:r>
      <w:r w:rsidDel="00000000" w:rsidR="00000000" w:rsidRPr="00000000">
        <w:rPr>
          <w:rtl w:val="0"/>
        </w:rPr>
      </w:r>
    </w:p>
    <w:p w:rsidR="00000000" w:rsidDel="00000000" w:rsidP="00000000" w:rsidRDefault="00000000" w:rsidRPr="00000000" w14:paraId="0000000B">
      <w:pPr>
        <w:spacing w:line="240" w:lineRule="auto"/>
        <w:rPr>
          <w:rFonts w:ascii="Arial Narrow" w:cs="Arial Narrow" w:eastAsia="Arial Narrow" w:hAnsi="Arial Narrow"/>
          <w:color w:val="006baa"/>
          <w:sz w:val="28.079999923706055"/>
          <w:szCs w:val="28.079999923706055"/>
        </w:rPr>
      </w:pPr>
      <w:r w:rsidDel="00000000" w:rsidR="00000000" w:rsidRPr="00000000">
        <w:rPr>
          <w:rFonts w:ascii="Arial Narrow" w:cs="Arial Narrow" w:eastAsia="Arial Narrow" w:hAnsi="Arial Narrow"/>
          <w:rtl w:val="0"/>
        </w:rPr>
        <w:t xml:space="preserve">Please refer Sheet 2 of the attached link: </w:t>
      </w:r>
      <w:hyperlink r:id="rId12">
        <w:r w:rsidDel="00000000" w:rsidR="00000000" w:rsidRPr="00000000">
          <w:rPr>
            <w:rFonts w:ascii="Arial Narrow" w:cs="Arial Narrow" w:eastAsia="Arial Narrow" w:hAnsi="Arial Narrow"/>
            <w:color w:val="1155cc"/>
            <w:u w:val="single"/>
            <w:rtl w:val="0"/>
          </w:rPr>
          <w:t xml:space="preserve">https://docs.google.com/spreadsheets/d/1uahONZIyu5vjaRDZMPjBI-KmJIVR5ty6zoqi9-AycNc/edit?usp=share_link</w:t>
        </w:r>
      </w:hyperlink>
      <w:r w:rsidDel="00000000" w:rsidR="00000000" w:rsidRPr="00000000">
        <w:rPr>
          <w:rtl w:val="0"/>
        </w:rPr>
      </w:r>
    </w:p>
    <w:p w:rsidR="00000000" w:rsidDel="00000000" w:rsidP="00000000" w:rsidRDefault="00000000" w:rsidRPr="00000000" w14:paraId="0000000C">
      <w:pPr>
        <w:spacing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D">
      <w:pPr>
        <w:spacing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E">
      <w:pPr>
        <w:spacing w:line="240" w:lineRule="auto"/>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1.3 Solution Landscape Summary:</w:t>
      </w:r>
      <w:r w:rsidDel="00000000" w:rsidR="00000000" w:rsidRPr="00000000">
        <w:rPr>
          <w:rtl w:val="0"/>
        </w:rPr>
      </w:r>
    </w:p>
    <w:p w:rsidR="00000000" w:rsidDel="00000000" w:rsidP="00000000" w:rsidRDefault="00000000" w:rsidRPr="00000000" w14:paraId="0000000F">
      <w:pPr>
        <w:spacing w:line="240" w:lineRule="auto"/>
        <w:rPr>
          <w:rFonts w:ascii="Arial Narrow" w:cs="Arial Narrow" w:eastAsia="Arial Narrow" w:hAnsi="Arial Narrow"/>
          <w:i w:val="1"/>
        </w:rPr>
      </w:pPr>
      <w:r w:rsidDel="00000000" w:rsidR="00000000" w:rsidRPr="00000000">
        <w:rPr>
          <w:rFonts w:ascii="Arial Narrow" w:cs="Arial Narrow" w:eastAsia="Arial Narrow" w:hAnsi="Arial Narrow"/>
          <w:i w:val="1"/>
          <w:rtl w:val="0"/>
        </w:rPr>
        <w:t xml:space="preserve">For Australian blind and low-vision users, the solution landscape is heavily dependent on synchronous assistance through a live agent. There are no centralised or scalable solutions that support Australian users in independently conducting and interpreting point-of-care, over-the-counter medical devices or tests (e.g. RAT tests, pregnancy tests) without live assistance. The lack of existing solutions for users to conduct medical tests diminishes the user’s sense of privacy typically afforded to non-blind users during oftentimes critical and sensitive periods of result interpretation; resulting in an exposure of medically sensitive data, and further serving to diminish the user’s dignity, agency, and thus quality of life.</w:t>
      </w:r>
    </w:p>
    <w:p w:rsidR="00000000" w:rsidDel="00000000" w:rsidP="00000000" w:rsidRDefault="00000000" w:rsidRPr="00000000" w14:paraId="00000010">
      <w:pPr>
        <w:spacing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1">
      <w:pPr>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1.4: State of the Art Summary:</w:t>
      </w:r>
    </w:p>
    <w:p w:rsidR="00000000" w:rsidDel="00000000" w:rsidP="00000000" w:rsidRDefault="00000000" w:rsidRPr="00000000" w14:paraId="00000012">
      <w:pPr>
        <w:spacing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3">
      <w:pPr>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End-To-End Workflow: </w:t>
      </w:r>
    </w:p>
    <w:p w:rsidR="00000000" w:rsidDel="00000000" w:rsidP="00000000" w:rsidRDefault="00000000" w:rsidRPr="00000000" w14:paraId="00000014">
      <w:pPr>
        <w:spacing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5">
      <w:pPr>
        <w:numPr>
          <w:ilvl w:val="0"/>
          <w:numId w:val="6"/>
        </w:numPr>
        <w:spacing w:line="240" w:lineRule="auto"/>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Users receive notification of COVID-19 exposure and purchase RAT test from local distributor</w:t>
      </w:r>
    </w:p>
    <w:p w:rsidR="00000000" w:rsidDel="00000000" w:rsidP="00000000" w:rsidRDefault="00000000" w:rsidRPr="00000000" w14:paraId="00000016">
      <w:pPr>
        <w:numPr>
          <w:ilvl w:val="0"/>
          <w:numId w:val="6"/>
        </w:numPr>
        <w:spacing w:line="240" w:lineRule="auto"/>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Users download the appropriate application, and opens a video call service to be connected to an agent (AIRA, BeMyEyes or a friend)</w:t>
      </w:r>
    </w:p>
    <w:p w:rsidR="00000000" w:rsidDel="00000000" w:rsidP="00000000" w:rsidRDefault="00000000" w:rsidRPr="00000000" w14:paraId="00000017">
      <w:pPr>
        <w:numPr>
          <w:ilvl w:val="0"/>
          <w:numId w:val="1"/>
        </w:numPr>
        <w:spacing w:line="240" w:lineRule="auto"/>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Queue times; constrained availability due to differences in time-zones.</w:t>
      </w:r>
    </w:p>
    <w:p w:rsidR="00000000" w:rsidDel="00000000" w:rsidP="00000000" w:rsidRDefault="00000000" w:rsidRPr="00000000" w14:paraId="00000018">
      <w:pPr>
        <w:numPr>
          <w:ilvl w:val="0"/>
          <w:numId w:val="6"/>
        </w:numPr>
        <w:spacing w:line="240" w:lineRule="auto"/>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Users explain request for step-by-step instructions and guidance to conduct test.</w:t>
      </w:r>
    </w:p>
    <w:p w:rsidR="00000000" w:rsidDel="00000000" w:rsidP="00000000" w:rsidRDefault="00000000" w:rsidRPr="00000000" w14:paraId="00000019">
      <w:pPr>
        <w:numPr>
          <w:ilvl w:val="0"/>
          <w:numId w:val="2"/>
        </w:numPr>
        <w:spacing w:line="240" w:lineRule="auto"/>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Lack of quality assurance across agents:</w:t>
      </w:r>
    </w:p>
    <w:p w:rsidR="00000000" w:rsidDel="00000000" w:rsidP="00000000" w:rsidRDefault="00000000" w:rsidRPr="00000000" w14:paraId="0000001A">
      <w:pPr>
        <w:numPr>
          <w:ilvl w:val="1"/>
          <w:numId w:val="2"/>
        </w:numPr>
        <w:spacing w:line="240" w:lineRule="auto"/>
        <w:ind w:left="216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Agents may not be trained to provide appropriate sighted advice to undertake tests.</w:t>
      </w:r>
    </w:p>
    <w:p w:rsidR="00000000" w:rsidDel="00000000" w:rsidP="00000000" w:rsidRDefault="00000000" w:rsidRPr="00000000" w14:paraId="0000001B">
      <w:pPr>
        <w:numPr>
          <w:ilvl w:val="1"/>
          <w:numId w:val="2"/>
        </w:numPr>
        <w:spacing w:line="240" w:lineRule="auto"/>
        <w:ind w:left="216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Agents may not be familiar with results interpretation.</w:t>
      </w:r>
    </w:p>
    <w:p w:rsidR="00000000" w:rsidDel="00000000" w:rsidP="00000000" w:rsidRDefault="00000000" w:rsidRPr="00000000" w14:paraId="0000001C">
      <w:pPr>
        <w:numPr>
          <w:ilvl w:val="0"/>
          <w:numId w:val="2"/>
        </w:numPr>
        <w:spacing w:line="240" w:lineRule="auto"/>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Users must dial back, or switch to different agents, if unsatisfactory service is provided.</w:t>
      </w:r>
    </w:p>
    <w:p w:rsidR="00000000" w:rsidDel="00000000" w:rsidP="00000000" w:rsidRDefault="00000000" w:rsidRPr="00000000" w14:paraId="0000001D">
      <w:pPr>
        <w:numPr>
          <w:ilvl w:val="0"/>
          <w:numId w:val="6"/>
        </w:numPr>
        <w:spacing w:line="240" w:lineRule="auto"/>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Wait for results to be displayed.</w:t>
      </w:r>
    </w:p>
    <w:p w:rsidR="00000000" w:rsidDel="00000000" w:rsidP="00000000" w:rsidRDefault="00000000" w:rsidRPr="00000000" w14:paraId="0000001E">
      <w:pPr>
        <w:numPr>
          <w:ilvl w:val="0"/>
          <w:numId w:val="4"/>
        </w:numPr>
        <w:spacing w:line="240" w:lineRule="auto"/>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Agents may not be available during the entire period of waiting time, resulting in lack of continuity of support.</w:t>
      </w:r>
    </w:p>
    <w:p w:rsidR="00000000" w:rsidDel="00000000" w:rsidP="00000000" w:rsidRDefault="00000000" w:rsidRPr="00000000" w14:paraId="0000001F">
      <w:pPr>
        <w:numPr>
          <w:ilvl w:val="0"/>
          <w:numId w:val="6"/>
        </w:numPr>
        <w:spacing w:line="240" w:lineRule="auto"/>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Display results to the agent after a period of time.</w:t>
      </w:r>
    </w:p>
    <w:p w:rsidR="00000000" w:rsidDel="00000000" w:rsidP="00000000" w:rsidRDefault="00000000" w:rsidRPr="00000000" w14:paraId="00000020">
      <w:pPr>
        <w:numPr>
          <w:ilvl w:val="0"/>
          <w:numId w:val="5"/>
        </w:numPr>
        <w:spacing w:line="240" w:lineRule="auto"/>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Exposure of medically sensitive data.</w:t>
      </w:r>
    </w:p>
    <w:p w:rsidR="00000000" w:rsidDel="00000000" w:rsidP="00000000" w:rsidRDefault="00000000" w:rsidRPr="00000000" w14:paraId="00000021">
      <w:pPr>
        <w:numPr>
          <w:ilvl w:val="0"/>
          <w:numId w:val="5"/>
        </w:numPr>
        <w:spacing w:line="240" w:lineRule="auto"/>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Diminished privacy; users are not the first individuals to know their results.</w:t>
      </w:r>
    </w:p>
    <w:p w:rsidR="00000000" w:rsidDel="00000000" w:rsidP="00000000" w:rsidRDefault="00000000" w:rsidRPr="00000000" w14:paraId="00000022">
      <w:pPr>
        <w:numPr>
          <w:ilvl w:val="0"/>
          <w:numId w:val="6"/>
        </w:numPr>
        <w:spacing w:line="240" w:lineRule="auto"/>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Post-diagnosis advice:</w:t>
      </w:r>
    </w:p>
    <w:p w:rsidR="00000000" w:rsidDel="00000000" w:rsidP="00000000" w:rsidRDefault="00000000" w:rsidRPr="00000000" w14:paraId="00000023">
      <w:pPr>
        <w:numPr>
          <w:ilvl w:val="0"/>
          <w:numId w:val="7"/>
        </w:numPr>
        <w:spacing w:line="240" w:lineRule="auto"/>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Quality of direction is not standardised, particularly with agents not based in Australia.</w:t>
      </w:r>
    </w:p>
    <w:p w:rsidR="00000000" w:rsidDel="00000000" w:rsidP="00000000" w:rsidRDefault="00000000" w:rsidRPr="00000000" w14:paraId="00000024">
      <w:pPr>
        <w:spacing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5">
      <w:pPr>
        <w:widowControl w:val="0"/>
        <w:spacing w:line="240" w:lineRule="auto"/>
        <w:ind w:left="0" w:firstLine="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Technologies &amp; Services Relevant to Project:</w:t>
      </w:r>
    </w:p>
    <w:p w:rsidR="00000000" w:rsidDel="00000000" w:rsidP="00000000" w:rsidRDefault="00000000" w:rsidRPr="00000000" w14:paraId="00000026">
      <w:pPr>
        <w:widowControl w:val="0"/>
        <w:numPr>
          <w:ilvl w:val="0"/>
          <w:numId w:val="3"/>
        </w:numPr>
        <w:spacing w:line="240" w:lineRule="auto"/>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rtl w:val="0"/>
        </w:rPr>
        <w:t xml:space="preserve">Mobile App Technologies</w:t>
      </w:r>
    </w:p>
    <w:p w:rsidR="00000000" w:rsidDel="00000000" w:rsidP="00000000" w:rsidRDefault="00000000" w:rsidRPr="00000000" w14:paraId="00000027">
      <w:pPr>
        <w:widowControl w:val="0"/>
        <w:numPr>
          <w:ilvl w:val="1"/>
          <w:numId w:val="3"/>
        </w:numPr>
        <w:spacing w:line="240" w:lineRule="auto"/>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rtl w:val="0"/>
        </w:rPr>
        <w:t xml:space="preserve">iOS and Android Devices (VoiceOver Function)</w:t>
      </w:r>
    </w:p>
    <w:p w:rsidR="00000000" w:rsidDel="00000000" w:rsidP="00000000" w:rsidRDefault="00000000" w:rsidRPr="00000000" w14:paraId="00000028">
      <w:pPr>
        <w:widowControl w:val="0"/>
        <w:numPr>
          <w:ilvl w:val="1"/>
          <w:numId w:val="3"/>
        </w:numPr>
        <w:spacing w:line="240" w:lineRule="auto"/>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rtl w:val="0"/>
        </w:rPr>
        <w:t xml:space="preserve">Portability</w:t>
      </w:r>
    </w:p>
    <w:p w:rsidR="00000000" w:rsidDel="00000000" w:rsidP="00000000" w:rsidRDefault="00000000" w:rsidRPr="00000000" w14:paraId="00000029">
      <w:pPr>
        <w:widowControl w:val="0"/>
        <w:numPr>
          <w:ilvl w:val="1"/>
          <w:numId w:val="3"/>
        </w:numPr>
        <w:spacing w:line="240" w:lineRule="auto"/>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rtl w:val="0"/>
        </w:rPr>
        <w:t xml:space="preserve">Accessibility</w:t>
      </w:r>
    </w:p>
    <w:p w:rsidR="00000000" w:rsidDel="00000000" w:rsidP="00000000" w:rsidRDefault="00000000" w:rsidRPr="00000000" w14:paraId="0000002A">
      <w:pPr>
        <w:widowControl w:val="0"/>
        <w:spacing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B">
      <w:pPr>
        <w:widowControl w:val="0"/>
        <w:spacing w:line="240" w:lineRule="auto"/>
        <w:ind w:left="0" w:firstLine="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Technologies &amp; Services to be Included: </w:t>
      </w:r>
    </w:p>
    <w:p w:rsidR="00000000" w:rsidDel="00000000" w:rsidP="00000000" w:rsidRDefault="00000000" w:rsidRPr="00000000" w14:paraId="0000002C">
      <w:pPr>
        <w:widowControl w:val="0"/>
        <w:numPr>
          <w:ilvl w:val="0"/>
          <w:numId w:val="3"/>
        </w:numPr>
        <w:spacing w:line="240" w:lineRule="auto"/>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rtl w:val="0"/>
        </w:rPr>
        <w:t xml:space="preserve">Machine Learning</w:t>
      </w:r>
    </w:p>
    <w:p w:rsidR="00000000" w:rsidDel="00000000" w:rsidP="00000000" w:rsidRDefault="00000000" w:rsidRPr="00000000" w14:paraId="0000002D">
      <w:pPr>
        <w:widowControl w:val="0"/>
        <w:numPr>
          <w:ilvl w:val="1"/>
          <w:numId w:val="3"/>
        </w:numPr>
        <w:spacing w:line="240" w:lineRule="auto"/>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rtl w:val="0"/>
        </w:rPr>
        <w:t xml:space="preserve">Large range of architectures available (i.e. YOLOv7, ResNet50); apply transfer-learning for specific object detection.</w:t>
      </w:r>
    </w:p>
    <w:p w:rsidR="00000000" w:rsidDel="00000000" w:rsidP="00000000" w:rsidRDefault="00000000" w:rsidRPr="00000000" w14:paraId="0000002E">
      <w:pPr>
        <w:widowControl w:val="0"/>
        <w:numPr>
          <w:ilvl w:val="2"/>
          <w:numId w:val="3"/>
        </w:numPr>
        <w:spacing w:line="240" w:lineRule="auto"/>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rtl w:val="0"/>
        </w:rPr>
        <w:t xml:space="preserve">Saves time and economic resources in developing.</w:t>
      </w:r>
    </w:p>
    <w:p w:rsidR="00000000" w:rsidDel="00000000" w:rsidP="00000000" w:rsidRDefault="00000000" w:rsidRPr="00000000" w14:paraId="0000002F">
      <w:pPr>
        <w:widowControl w:val="0"/>
        <w:numPr>
          <w:ilvl w:val="1"/>
          <w:numId w:val="3"/>
        </w:numPr>
        <w:spacing w:line="240" w:lineRule="auto"/>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rtl w:val="0"/>
        </w:rPr>
        <w:t xml:space="preserve">Implementation:</w:t>
      </w:r>
    </w:p>
    <w:p w:rsidR="00000000" w:rsidDel="00000000" w:rsidP="00000000" w:rsidRDefault="00000000" w:rsidRPr="00000000" w14:paraId="00000030">
      <w:pPr>
        <w:widowControl w:val="0"/>
        <w:numPr>
          <w:ilvl w:val="2"/>
          <w:numId w:val="3"/>
        </w:numPr>
        <w:spacing w:line="240" w:lineRule="auto"/>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rtl w:val="0"/>
        </w:rPr>
        <w:t xml:space="preserve">Object detection and tracking to provide guidance to users.</w:t>
      </w:r>
    </w:p>
    <w:p w:rsidR="00000000" w:rsidDel="00000000" w:rsidP="00000000" w:rsidRDefault="00000000" w:rsidRPr="00000000" w14:paraId="00000031">
      <w:pPr>
        <w:widowControl w:val="0"/>
        <w:numPr>
          <w:ilvl w:val="2"/>
          <w:numId w:val="3"/>
        </w:numPr>
        <w:spacing w:line="240" w:lineRule="auto"/>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rtl w:val="0"/>
        </w:rPr>
        <w:t xml:space="preserve">Results interpretation.</w:t>
      </w:r>
    </w:p>
    <w:p w:rsidR="00000000" w:rsidDel="00000000" w:rsidP="00000000" w:rsidRDefault="00000000" w:rsidRPr="00000000" w14:paraId="00000032">
      <w:pPr>
        <w:widowControl w:val="0"/>
        <w:numPr>
          <w:ilvl w:val="0"/>
          <w:numId w:val="3"/>
        </w:numPr>
        <w:spacing w:line="240" w:lineRule="auto"/>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rtl w:val="0"/>
        </w:rPr>
        <w:t xml:space="preserve">Option to connect individuals to live agents (potential collaboration with existing applications such as BeMyEyes, AIRA).</w:t>
      </w:r>
    </w:p>
    <w:p w:rsidR="00000000" w:rsidDel="00000000" w:rsidP="00000000" w:rsidRDefault="00000000" w:rsidRPr="00000000" w14:paraId="00000033">
      <w:pPr>
        <w:widowControl w:val="0"/>
        <w:numPr>
          <w:ilvl w:val="1"/>
          <w:numId w:val="3"/>
        </w:numPr>
        <w:spacing w:line="240" w:lineRule="auto"/>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rtl w:val="0"/>
        </w:rPr>
        <w:t xml:space="preserve">Provides users with choice between synchronous assistance, or asynchronous, private assistance.</w:t>
      </w:r>
    </w:p>
    <w:p w:rsidR="00000000" w:rsidDel="00000000" w:rsidP="00000000" w:rsidRDefault="00000000" w:rsidRPr="00000000" w14:paraId="00000034">
      <w:pPr>
        <w:spacing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5">
      <w:pPr>
        <w:spacing w:line="240" w:lineRule="auto"/>
        <w:rPr>
          <w:rFonts w:ascii="Arial Narrow" w:cs="Arial Narrow" w:eastAsia="Arial Narrow" w:hAnsi="Arial Narrow"/>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right"/>
      <w:pPr>
        <w:ind w:left="720" w:hanging="360"/>
      </w:pPr>
      <w:rPr>
        <w:rFonts w:ascii="Arial" w:cs="Arial" w:eastAsia="Arial" w:hAnsi="Arial"/>
        <w:b w:val="0"/>
        <w:i w:val="0"/>
        <w:smallCaps w:val="0"/>
        <w:strike w:val="0"/>
        <w:color w:val="000000"/>
        <w:sz w:val="28"/>
        <w:szCs w:val="28"/>
        <w:u w:val="none"/>
        <w:shd w:fill="auto" w:val="clear"/>
        <w:vertAlign w:val="baseline"/>
      </w:rPr>
    </w:lvl>
    <w:lvl w:ilvl="1">
      <w:start w:val="1"/>
      <w:numFmt w:val="bullet"/>
      <w:lvlText w:val="-"/>
      <w:lvlJc w:val="right"/>
      <w:pPr>
        <w:ind w:left="1440" w:hanging="360"/>
      </w:pPr>
      <w:rPr>
        <w:rFonts w:ascii="Arial" w:cs="Arial" w:eastAsia="Arial" w:hAnsi="Arial"/>
        <w:b w:val="0"/>
        <w:i w:val="0"/>
        <w:smallCaps w:val="0"/>
        <w:strike w:val="0"/>
        <w:color w:val="000000"/>
        <w:sz w:val="28"/>
        <w:szCs w:val="28"/>
        <w:u w:val="none"/>
        <w:shd w:fill="auto" w:val="clear"/>
        <w:vertAlign w:val="baseline"/>
      </w:rPr>
    </w:lvl>
    <w:lvl w:ilvl="2">
      <w:start w:val="1"/>
      <w:numFmt w:val="bullet"/>
      <w:lvlText w:val="-"/>
      <w:lvlJc w:val="right"/>
      <w:pPr>
        <w:ind w:left="2160" w:hanging="360"/>
      </w:pPr>
      <w:rPr>
        <w:rFonts w:ascii="Arial" w:cs="Arial" w:eastAsia="Arial" w:hAnsi="Arial"/>
        <w:b w:val="0"/>
        <w:i w:val="0"/>
        <w:smallCaps w:val="0"/>
        <w:strike w:val="0"/>
        <w:color w:val="000000"/>
        <w:sz w:val="28"/>
        <w:szCs w:val="28"/>
        <w:u w:val="none"/>
        <w:shd w:fill="auto" w:val="clear"/>
        <w:vertAlign w:val="baseline"/>
      </w:rPr>
    </w:lvl>
    <w:lvl w:ilvl="3">
      <w:start w:val="1"/>
      <w:numFmt w:val="bullet"/>
      <w:lvlText w:val="-"/>
      <w:lvlJc w:val="right"/>
      <w:pPr>
        <w:ind w:left="2880" w:hanging="360"/>
      </w:pPr>
      <w:rPr>
        <w:rFonts w:ascii="Arial" w:cs="Arial" w:eastAsia="Arial" w:hAnsi="Arial"/>
        <w:b w:val="0"/>
        <w:i w:val="0"/>
        <w:smallCaps w:val="0"/>
        <w:strike w:val="0"/>
        <w:color w:val="000000"/>
        <w:sz w:val="28"/>
        <w:szCs w:val="28"/>
        <w:u w:val="none"/>
        <w:shd w:fill="auto" w:val="clear"/>
        <w:vertAlign w:val="baseline"/>
      </w:rPr>
    </w:lvl>
    <w:lvl w:ilvl="4">
      <w:start w:val="1"/>
      <w:numFmt w:val="bullet"/>
      <w:lvlText w:val="-"/>
      <w:lvlJc w:val="right"/>
      <w:pPr>
        <w:ind w:left="3600" w:hanging="360"/>
      </w:pPr>
      <w:rPr>
        <w:rFonts w:ascii="Arial" w:cs="Arial" w:eastAsia="Arial" w:hAnsi="Arial"/>
        <w:b w:val="0"/>
        <w:i w:val="0"/>
        <w:smallCaps w:val="0"/>
        <w:strike w:val="0"/>
        <w:color w:val="000000"/>
        <w:sz w:val="28"/>
        <w:szCs w:val="28"/>
        <w:u w:val="none"/>
        <w:shd w:fill="auto" w:val="clear"/>
        <w:vertAlign w:val="baseline"/>
      </w:rPr>
    </w:lvl>
    <w:lvl w:ilvl="5">
      <w:start w:val="1"/>
      <w:numFmt w:val="bullet"/>
      <w:lvlText w:val="-"/>
      <w:lvlJc w:val="right"/>
      <w:pPr>
        <w:ind w:left="4320" w:hanging="360"/>
      </w:pPr>
      <w:rPr>
        <w:rFonts w:ascii="Arial" w:cs="Arial" w:eastAsia="Arial" w:hAnsi="Arial"/>
        <w:b w:val="0"/>
        <w:i w:val="0"/>
        <w:smallCaps w:val="0"/>
        <w:strike w:val="0"/>
        <w:color w:val="000000"/>
        <w:sz w:val="28"/>
        <w:szCs w:val="28"/>
        <w:u w:val="none"/>
        <w:shd w:fill="auto" w:val="clear"/>
        <w:vertAlign w:val="baseline"/>
      </w:rPr>
    </w:lvl>
    <w:lvl w:ilvl="6">
      <w:start w:val="1"/>
      <w:numFmt w:val="bullet"/>
      <w:lvlText w:val="-"/>
      <w:lvlJc w:val="right"/>
      <w:pPr>
        <w:ind w:left="5040" w:hanging="360"/>
      </w:pPr>
      <w:rPr>
        <w:rFonts w:ascii="Arial" w:cs="Arial" w:eastAsia="Arial" w:hAnsi="Arial"/>
        <w:b w:val="0"/>
        <w:i w:val="0"/>
        <w:smallCaps w:val="0"/>
        <w:strike w:val="0"/>
        <w:color w:val="000000"/>
        <w:sz w:val="28"/>
        <w:szCs w:val="28"/>
        <w:u w:val="none"/>
        <w:shd w:fill="auto" w:val="clear"/>
        <w:vertAlign w:val="baseline"/>
      </w:rPr>
    </w:lvl>
    <w:lvl w:ilvl="7">
      <w:start w:val="1"/>
      <w:numFmt w:val="bullet"/>
      <w:lvlText w:val="-"/>
      <w:lvlJc w:val="right"/>
      <w:pPr>
        <w:ind w:left="5760" w:hanging="360"/>
      </w:pPr>
      <w:rPr>
        <w:rFonts w:ascii="Arial" w:cs="Arial" w:eastAsia="Arial" w:hAnsi="Arial"/>
        <w:b w:val="0"/>
        <w:i w:val="0"/>
        <w:smallCaps w:val="0"/>
        <w:strike w:val="0"/>
        <w:color w:val="000000"/>
        <w:sz w:val="28"/>
        <w:szCs w:val="28"/>
        <w:u w:val="none"/>
        <w:shd w:fill="auto" w:val="clear"/>
        <w:vertAlign w:val="baseline"/>
      </w:rPr>
    </w:lvl>
    <w:lvl w:ilvl="8">
      <w:start w:val="1"/>
      <w:numFmt w:val="bullet"/>
      <w:lvlText w:val="-"/>
      <w:lvlJc w:val="right"/>
      <w:pPr>
        <w:ind w:left="6480" w:hanging="360"/>
      </w:pPr>
      <w:rPr>
        <w:rFonts w:ascii="Arial" w:cs="Arial" w:eastAsia="Arial" w:hAnsi="Arial"/>
        <w:b w:val="0"/>
        <w:i w:val="0"/>
        <w:smallCaps w:val="0"/>
        <w:strike w:val="0"/>
        <w:color w:val="000000"/>
        <w:sz w:val="28"/>
        <w:szCs w:val="28"/>
        <w:u w:val="none"/>
        <w:shd w:fill="auto" w:val="clear"/>
        <w:vertAlign w:val="baseli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spreadsheets/d/1uahONZIyu5vjaRDZMPjBI-KmJIVR5ty6zoqi9-AycNc/edit?usp=share_link" TargetMode="External"/><Relationship Id="rId10" Type="http://schemas.openxmlformats.org/officeDocument/2006/relationships/image" Target="media/image3.png"/><Relationship Id="rId12" Type="http://schemas.openxmlformats.org/officeDocument/2006/relationships/hyperlink" Target="https://docs.google.com/spreadsheets/d/1uahONZIyu5vjaRDZMPjBI-KmJIVR5ty6zoqi9-AycNc/edit?usp=share_link" TargetMode="Externa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4.png"/><Relationship Id="rId8" Type="http://schemas.openxmlformats.org/officeDocument/2006/relationships/image" Target="media/image5.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