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6"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5"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Relay</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2</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Maria Zarco-Vera</w:t>
      </w:r>
    </w:p>
    <w:p w:rsidR="00000000" w:rsidDel="00000000" w:rsidP="00000000" w:rsidRDefault="00000000" w:rsidRPr="00000000" w14:paraId="00000006">
      <w:pPr>
        <w:spacing w:after="280" w:before="280" w:lineRule="auto"/>
        <w:rPr>
          <w:rFonts w:ascii="Arial Narrow" w:cs="Arial Narrow" w:eastAsia="Arial Narrow" w:hAnsi="Arial Narrow"/>
          <w:b w:val="1"/>
          <w:color w:val="f79646"/>
          <w:sz w:val="22"/>
          <w:szCs w:val="22"/>
        </w:rPr>
      </w:pPr>
      <w:r w:rsidDel="00000000" w:rsidR="00000000" w:rsidRPr="00000000">
        <w:rPr>
          <w:rFonts w:ascii="Arial Narrow" w:cs="Arial Narrow" w:eastAsia="Arial Narrow" w:hAnsi="Arial Narrow"/>
          <w:b w:val="1"/>
          <w:color w:val="f79646"/>
          <w:sz w:val="22"/>
          <w:szCs w:val="22"/>
          <w:rtl w:val="0"/>
        </w:rPr>
        <w:t xml:space="preserve">Google Calendar</w:t>
      </w:r>
    </w:p>
    <w:p w:rsidR="00000000" w:rsidDel="00000000" w:rsidP="00000000" w:rsidRDefault="00000000" w:rsidRPr="00000000" w14:paraId="00000007">
      <w:pPr>
        <w:spacing w:after="280" w:before="280" w:lineRule="auto"/>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PROFILE</w:t>
      </w:r>
    </w:p>
    <w:p w:rsidR="00000000" w:rsidDel="00000000" w:rsidP="00000000" w:rsidRDefault="00000000" w:rsidRPr="00000000" w14:paraId="00000008">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CLINICAL SOLUTION PROFILE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Time-management and scheduling calendar service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For working in teams: create events, get reminders about upcoming activities, create multiple calendars and choose who to share them with.</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Can be integrated through API to create Medical Scheduling software</w:t>
      </w:r>
    </w:p>
    <w:p w:rsidR="00000000" w:rsidDel="00000000" w:rsidP="00000000" w:rsidRDefault="00000000" w:rsidRPr="00000000" w14:paraId="0000000C">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ECONOMIC SOLUTION PROFILE</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Free for patients with a google account (which can also be created for free).</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API is available at no additional cost</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However, the API has a limit of 1,000,000 queries per day, after which the provider must pay for an increased quota. </w:t>
      </w:r>
    </w:p>
    <w:p w:rsidR="00000000" w:rsidDel="00000000" w:rsidP="00000000" w:rsidRDefault="00000000" w:rsidRPr="00000000" w14:paraId="00000010">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UTILISATION PROFILE</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First a google account must be created and then google calendar can be accesses through the laptop GOOGLE widgets or by downloading the Smartphone Google Calendar app.</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Then, appointment can be added by pressing the plus (+) button. A new window comes up where details about the event are input – such as: date, time, location and people involved with whome the event can be shared.</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The app and web app can be accessed from home or at the hospital, there is no limitation in regards to the location.</w:t>
      </w:r>
    </w:p>
    <w:p w:rsidR="00000000" w:rsidDel="00000000" w:rsidP="00000000" w:rsidRDefault="00000000" w:rsidRPr="00000000" w14:paraId="00000014">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EMERGING SOLUTION PROFILE:</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This technology is not new however, if an app was created using the Google Calendar API it could have an impact on the solution landscape.</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This will depend on whether the app is accessible to just The Alfred patients or patients from other hospitals or what kind of clinical data is is displayed.</w:t>
      </w:r>
    </w:p>
    <w:p w:rsidR="00000000" w:rsidDel="00000000" w:rsidP="00000000" w:rsidRDefault="00000000" w:rsidRPr="00000000" w14:paraId="00000017">
      <w:pPr>
        <w:spacing w:after="280" w:before="280" w:lineRule="auto"/>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8">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b w:val="1"/>
          <w:sz w:val="22"/>
          <w:szCs w:val="22"/>
          <w:rtl w:val="0"/>
        </w:rPr>
        <w:t xml:space="preserve">SOLUTION ALIGNMENT</w:t>
      </w:r>
      <w:r w:rsidDel="00000000" w:rsidR="00000000" w:rsidRPr="00000000">
        <w:rPr>
          <w:rtl w:val="0"/>
        </w:rPr>
      </w:r>
    </w:p>
    <w:p w:rsidR="00000000" w:rsidDel="00000000" w:rsidP="00000000" w:rsidRDefault="00000000" w:rsidRPr="00000000" w14:paraId="00000019">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alignment is displayed through the acceptance criteria. The colour code describes to what extent the criteria is addressed through the solution. Green means “Very likely”, orange means “Likely”, red means “Unlikely”.</w:t>
      </w:r>
    </w:p>
    <w:p w:rsidR="00000000" w:rsidDel="00000000" w:rsidP="00000000" w:rsidRDefault="00000000" w:rsidRPr="00000000" w14:paraId="0000001A">
      <w:pPr>
        <w:spacing w:after="280" w:lineRule="auto"/>
        <w:rPr>
          <w:rFonts w:ascii="Arial Narrow" w:cs="Arial Narrow" w:eastAsia="Arial Narrow" w:hAnsi="Arial Narrow"/>
        </w:rPr>
      </w:pPr>
      <w:r w:rsidDel="00000000" w:rsidR="00000000" w:rsidRPr="00000000">
        <w:rPr>
          <w:rtl w:val="0"/>
        </w:rPr>
      </w:r>
    </w:p>
    <w:tbl>
      <w:tblPr>
        <w:tblStyle w:val="Table1"/>
        <w:tblW w:w="9998.0" w:type="dxa"/>
        <w:jc w:val="left"/>
        <w:tblLayout w:type="fixed"/>
        <w:tblLook w:val="0400"/>
      </w:tblPr>
      <w:tblGrid>
        <w:gridCol w:w="9998"/>
        <w:tblGridChange w:id="0">
          <w:tblGrid>
            <w:gridCol w:w="9998"/>
          </w:tblGrid>
        </w:tblGridChange>
      </w:tblGrid>
      <w:tr>
        <w:trPr>
          <w:cantSplit w:val="0"/>
          <w:trHeight w:val="157" w:hRule="atLeast"/>
          <w:tblHeader w:val="0"/>
        </w:trPr>
        <w:tc>
          <w:tcPr>
            <w:tcBorders>
              <w:top w:color="000000" w:space="0" w:sz="6" w:val="single"/>
              <w:left w:color="000000" w:space="0" w:sz="6" w:val="single"/>
              <w:bottom w:color="000000" w:space="0" w:sz="8" w:val="single"/>
              <w:right w:color="000000" w:space="0" w:sz="6" w:val="single"/>
            </w:tcBorders>
            <w:shd w:fill="000000" w:val="clear"/>
            <w:tcMar>
              <w:top w:w="72.0" w:type="dxa"/>
              <w:left w:w="144.0" w:type="dxa"/>
              <w:bottom w:w="72.0" w:type="dxa"/>
              <w:right w:w="144.0" w:type="dxa"/>
            </w:tcMar>
          </w:tcPr>
          <w:p w:rsidR="00000000" w:rsidDel="00000000" w:rsidP="00000000" w:rsidRDefault="00000000" w:rsidRPr="00000000" w14:paraId="0000001B">
            <w:pPr>
              <w:jc w:val="center"/>
              <w:rPr>
                <w:rFonts w:ascii="Arial Narrow" w:cs="Arial Narrow" w:eastAsia="Arial Narrow" w:hAnsi="Arial Narrow"/>
                <w:color w:val="ffffff"/>
                <w:sz w:val="22"/>
                <w:szCs w:val="22"/>
              </w:rPr>
            </w:pPr>
            <w:r w:rsidDel="00000000" w:rsidR="00000000" w:rsidRPr="00000000">
              <w:rPr>
                <w:rFonts w:ascii="Arial Narrow" w:cs="Arial Narrow" w:eastAsia="Arial Narrow" w:hAnsi="Arial Narrow"/>
                <w:color w:val="ffffff"/>
                <w:sz w:val="22"/>
                <w:szCs w:val="22"/>
                <w:rtl w:val="0"/>
              </w:rPr>
              <w:t xml:space="preserve">Acceptance Criteria</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1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lift the stress of missing appointments as well as prevent confusion related to miscommunication.</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1D">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accessible by more than 50% of patients thus increasing the number of participants completing the clinical trials on time.</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1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accessible by carers, as well as the patients themselves and study coordinators.</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1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decrease the repetitive workload imposed on clinical trial coordinators </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2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intuitive and have a simple user interface, adequate to the physical and mental barriers of the demographic.</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21">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have the capability of the target size of 75-100 patients per year, as well as the study coordinators involved.</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2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be scalable to other clinical trials at The Alfred, as well as its Partners and other hospitals in Victoria.</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d99594" w:val="clear"/>
            <w:tcMar>
              <w:top w:w="72.0" w:type="dxa"/>
              <w:left w:w="144.0" w:type="dxa"/>
              <w:bottom w:w="72.0" w:type="dxa"/>
              <w:right w:w="144.0" w:type="dxa"/>
            </w:tcMar>
          </w:tcPr>
          <w:p w:rsidR="00000000" w:rsidDel="00000000" w:rsidP="00000000" w:rsidRDefault="00000000" w:rsidRPr="00000000" w14:paraId="0000002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include criteria that differentiates it from other appointment systems.</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2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implementation should fit the capabilities of the project members.</w:t>
            </w:r>
          </w:p>
        </w:tc>
      </w:tr>
    </w:tbl>
    <w:p w:rsidR="00000000" w:rsidDel="00000000" w:rsidP="00000000" w:rsidRDefault="00000000" w:rsidRPr="00000000" w14:paraId="00000025">
      <w:pPr>
        <w:spacing w:after="280" w:lineRule="auto"/>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6">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7">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8">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9">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A">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B">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C">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D">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E">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2F">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30">
      <w:pPr>
        <w:spacing w:after="280" w:before="280" w:lineRule="auto"/>
        <w:rPr>
          <w:rFonts w:ascii="Arial Narrow" w:cs="Arial Narrow" w:eastAsia="Arial Narrow" w:hAnsi="Arial Narrow"/>
          <w:color w:val="006baa"/>
          <w:sz w:val="22"/>
          <w:szCs w:val="22"/>
        </w:rPr>
      </w:pPr>
      <w:r w:rsidDel="00000000" w:rsidR="00000000" w:rsidRPr="00000000">
        <w:rPr>
          <w:rtl w:val="0"/>
        </w:rPr>
      </w:r>
    </w:p>
    <w:p w:rsidR="00000000" w:rsidDel="00000000" w:rsidP="00000000" w:rsidRDefault="00000000" w:rsidRPr="00000000" w14:paraId="00000031">
      <w:pPr>
        <w:spacing w:after="280" w:before="280" w:lineRule="auto"/>
        <w:rPr>
          <w:rFonts w:ascii="Arial Narrow" w:cs="Arial Narrow" w:eastAsia="Arial Narrow" w:hAnsi="Arial Narrow"/>
          <w:b w:val="1"/>
          <w:color w:val="f79646"/>
          <w:sz w:val="22"/>
          <w:szCs w:val="22"/>
        </w:rPr>
      </w:pPr>
      <w:r w:rsidDel="00000000" w:rsidR="00000000" w:rsidRPr="00000000">
        <w:rPr>
          <w:rtl w:val="0"/>
        </w:rPr>
      </w:r>
    </w:p>
    <w:p w:rsidR="00000000" w:rsidDel="00000000" w:rsidP="00000000" w:rsidRDefault="00000000" w:rsidRPr="00000000" w14:paraId="00000032">
      <w:pPr>
        <w:spacing w:after="280" w:before="280" w:lineRule="auto"/>
        <w:rPr>
          <w:rFonts w:ascii="Arial Narrow" w:cs="Arial Narrow" w:eastAsia="Arial Narrow" w:hAnsi="Arial Narrow"/>
          <w:b w:val="1"/>
          <w:color w:val="f79646"/>
          <w:sz w:val="22"/>
          <w:szCs w:val="22"/>
        </w:rPr>
      </w:pPr>
      <w:r w:rsidDel="00000000" w:rsidR="00000000" w:rsidRPr="00000000">
        <w:rPr>
          <w:rFonts w:ascii="Arial Narrow" w:cs="Arial Narrow" w:eastAsia="Arial Narrow" w:hAnsi="Arial Narrow"/>
          <w:b w:val="1"/>
          <w:color w:val="f79646"/>
          <w:sz w:val="22"/>
          <w:szCs w:val="22"/>
          <w:rtl w:val="0"/>
        </w:rPr>
        <w:t xml:space="preserve">Health Hub</w:t>
      </w:r>
    </w:p>
    <w:p w:rsidR="00000000" w:rsidDel="00000000" w:rsidP="00000000" w:rsidRDefault="00000000" w:rsidRPr="00000000" w14:paraId="00000033">
      <w:pPr>
        <w:spacing w:after="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CLINICAL SOLUTION PROFILE</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Patient portal with secure mobile app</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Connects to important information about care &amp; treatment</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Peter MacCallum Cancer Centre, Royal Melbourne Hospital &amp; Royal Women’s Hospital</w:t>
      </w:r>
    </w:p>
    <w:p w:rsidR="00000000" w:rsidDel="00000000" w:rsidP="00000000" w:rsidRDefault="00000000" w:rsidRPr="00000000" w14:paraId="00000037">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ECONOMIC SOLUTION PROFILE</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Healthcare app development cost: $45,000 - $80,000</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Free for patients </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Service provided by PMCC, WH, RMH</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Alfred would need to pay for it</w:t>
      </w:r>
    </w:p>
    <w:p w:rsidR="00000000" w:rsidDel="00000000" w:rsidP="00000000" w:rsidRDefault="00000000" w:rsidRPr="00000000" w14:paraId="0000003C">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UTILISATION PROFILE</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Sign up through SMS  online sign up form  request activation code</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Used only by patient/consumer at PMCC, RMH, WH</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Also: parent, legal guardian or medical decision maker can be authorised as “proxy”</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Can access anywhere</w:t>
      </w:r>
    </w:p>
    <w:p w:rsidR="00000000" w:rsidDel="00000000" w:rsidP="00000000" w:rsidRDefault="00000000" w:rsidRPr="00000000" w14:paraId="00000041">
      <w:pPr>
        <w:spacing w:after="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EMERGING SOLUTION PROFILE:</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If adopted by The Alfred it will confront the complex overlapping &amp; fragmented Victorian health care system</w:t>
      </w:r>
    </w:p>
    <w:p w:rsidR="00000000" w:rsidDel="00000000" w:rsidP="00000000" w:rsidRDefault="00000000" w:rsidRPr="00000000" w14:paraId="00000043">
      <w:pPr>
        <w:spacing w:after="280" w:lineRule="auto"/>
        <w:rPr>
          <w:rFonts w:ascii="Arial Narrow" w:cs="Arial Narrow" w:eastAsia="Arial Narrow" w:hAnsi="Arial Narrow"/>
        </w:rPr>
      </w:pPr>
      <w:r w:rsidDel="00000000" w:rsidR="00000000" w:rsidRPr="00000000">
        <w:rPr>
          <w:rFonts w:ascii="Arial Narrow" w:cs="Arial Narrow" w:eastAsia="Arial Narrow" w:hAnsi="Arial Narrow"/>
          <w:b w:val="1"/>
          <w:sz w:val="22"/>
          <w:szCs w:val="22"/>
          <w:rtl w:val="0"/>
        </w:rPr>
        <w:t xml:space="preserve">SOLUTION ALIGNMENT</w:t>
      </w:r>
      <w:r w:rsidDel="00000000" w:rsidR="00000000" w:rsidRPr="00000000">
        <w:rPr>
          <w:rtl w:val="0"/>
        </w:rPr>
      </w:r>
    </w:p>
    <w:tbl>
      <w:tblPr>
        <w:tblStyle w:val="Table2"/>
        <w:tblW w:w="9998.0" w:type="dxa"/>
        <w:jc w:val="left"/>
        <w:tblLayout w:type="fixed"/>
        <w:tblLook w:val="0400"/>
      </w:tblPr>
      <w:tblGrid>
        <w:gridCol w:w="9998"/>
        <w:tblGridChange w:id="0">
          <w:tblGrid>
            <w:gridCol w:w="9998"/>
          </w:tblGrid>
        </w:tblGridChange>
      </w:tblGrid>
      <w:tr>
        <w:trPr>
          <w:cantSplit w:val="0"/>
          <w:trHeight w:val="157" w:hRule="atLeast"/>
          <w:tblHeader w:val="0"/>
        </w:trPr>
        <w:tc>
          <w:tcPr>
            <w:tcBorders>
              <w:top w:color="000000" w:space="0" w:sz="6" w:val="single"/>
              <w:left w:color="000000" w:space="0" w:sz="6" w:val="single"/>
              <w:bottom w:color="000000" w:space="0" w:sz="8" w:val="single"/>
              <w:right w:color="000000" w:space="0" w:sz="6" w:val="single"/>
            </w:tcBorders>
            <w:shd w:fill="000000" w:val="clear"/>
            <w:tcMar>
              <w:top w:w="72.0" w:type="dxa"/>
              <w:left w:w="144.0" w:type="dxa"/>
              <w:bottom w:w="72.0" w:type="dxa"/>
              <w:right w:w="144.0" w:type="dxa"/>
            </w:tcMar>
          </w:tcPr>
          <w:p w:rsidR="00000000" w:rsidDel="00000000" w:rsidP="00000000" w:rsidRDefault="00000000" w:rsidRPr="00000000" w14:paraId="00000044">
            <w:pPr>
              <w:jc w:val="center"/>
              <w:rPr>
                <w:rFonts w:ascii="Arial Narrow" w:cs="Arial Narrow" w:eastAsia="Arial Narrow" w:hAnsi="Arial Narrow"/>
                <w:color w:val="ffffff"/>
                <w:sz w:val="22"/>
                <w:szCs w:val="22"/>
              </w:rPr>
            </w:pPr>
            <w:r w:rsidDel="00000000" w:rsidR="00000000" w:rsidRPr="00000000">
              <w:rPr>
                <w:rFonts w:ascii="Arial Narrow" w:cs="Arial Narrow" w:eastAsia="Arial Narrow" w:hAnsi="Arial Narrow"/>
                <w:color w:val="ffffff"/>
                <w:sz w:val="22"/>
                <w:szCs w:val="22"/>
                <w:rtl w:val="0"/>
              </w:rPr>
              <w:t xml:space="preserve">Acceptance Criteria</w:t>
            </w:r>
          </w:p>
        </w:tc>
      </w:tr>
      <w:tr>
        <w:trPr>
          <w:cantSplit w:val="0"/>
          <w:trHeight w:val="211"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45">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lift the stress of missing appointments as well as prevent confusion related to miscommunication.</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4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accessible by more than 50% of patients thus increasing the number of participants completing the clinical trials on time.</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4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accessible by carers, as well as the patients themselves and study coordinators.</w:t>
            </w:r>
          </w:p>
        </w:tc>
      </w:tr>
      <w:tr>
        <w:trPr>
          <w:cantSplit w:val="0"/>
          <w:trHeight w:val="261"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48">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decrease the repetitive workload imposed on clinical trial coordinators </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4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intuitive and have a simple user interface, adequate to the physical and mental barriers of the demographic.</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4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have the capability of the target size of 75-100 patients per year, as well as the study coordinators involved.</w:t>
            </w:r>
          </w:p>
        </w:tc>
      </w:tr>
      <w:tr>
        <w:trPr>
          <w:cantSplit w:val="0"/>
          <w:trHeight w:val="343" w:hRule="atLeast"/>
          <w:tblHeader w:val="0"/>
        </w:trPr>
        <w:tc>
          <w:tcPr>
            <w:tcBorders>
              <w:top w:color="000000" w:space="0" w:sz="8" w:val="single"/>
              <w:left w:color="000000" w:space="0" w:sz="8" w:val="single"/>
              <w:bottom w:color="000000" w:space="0" w:sz="8" w:val="single"/>
              <w:right w:color="000000" w:space="0" w:sz="8" w:val="single"/>
            </w:tcBorders>
            <w:shd w:fill="d99694" w:val="clear"/>
            <w:tcMar>
              <w:top w:w="72.0" w:type="dxa"/>
              <w:left w:w="144.0" w:type="dxa"/>
              <w:bottom w:w="72.0" w:type="dxa"/>
              <w:right w:w="144.0" w:type="dxa"/>
            </w:tcMar>
          </w:tcPr>
          <w:p w:rsidR="00000000" w:rsidDel="00000000" w:rsidP="00000000" w:rsidRDefault="00000000" w:rsidRPr="00000000" w14:paraId="0000004B">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be scalable to other clinical trials at The Alfred, as well as its Partners and other hospitals in Victoria.</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4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include criteria that differentiates it from other appointment systems.</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4D">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implementation should fit the capabilities of the project members.</w:t>
            </w:r>
          </w:p>
        </w:tc>
      </w:tr>
    </w:tbl>
    <w:p w:rsidR="00000000" w:rsidDel="00000000" w:rsidP="00000000" w:rsidRDefault="00000000" w:rsidRPr="00000000" w14:paraId="0000004E">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alignment is displayed through the acceptance criteria. The colour code describes to what extent the criteria is addressed through the solution. Green means “Very likely”, orange means “Likely”, red means “Unlikely”.</w:t>
      </w:r>
    </w:p>
    <w:p w:rsidR="00000000" w:rsidDel="00000000" w:rsidP="00000000" w:rsidRDefault="00000000" w:rsidRPr="00000000" w14:paraId="0000004F">
      <w:pPr>
        <w:spacing w:after="280" w:before="280" w:lineRule="auto"/>
        <w:rPr>
          <w:rFonts w:ascii="Arial Narrow" w:cs="Arial Narrow" w:eastAsia="Arial Narrow" w:hAnsi="Arial Narrow"/>
          <w:b w:val="1"/>
          <w:color w:val="f79646"/>
          <w:sz w:val="22"/>
          <w:szCs w:val="22"/>
        </w:rPr>
      </w:pPr>
      <w:r w:rsidDel="00000000" w:rsidR="00000000" w:rsidRPr="00000000">
        <w:rPr>
          <w:rFonts w:ascii="Arial Narrow" w:cs="Arial Narrow" w:eastAsia="Arial Narrow" w:hAnsi="Arial Narrow"/>
          <w:b w:val="1"/>
          <w:color w:val="f79646"/>
          <w:sz w:val="22"/>
          <w:szCs w:val="22"/>
          <w:rtl w:val="0"/>
        </w:rPr>
        <w:t xml:space="preserve">Manage My Care</w:t>
      </w:r>
    </w:p>
    <w:p w:rsidR="00000000" w:rsidDel="00000000" w:rsidP="00000000" w:rsidRDefault="00000000" w:rsidRPr="00000000" w14:paraId="00000050">
      <w:pPr>
        <w:spacing w:after="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CLINICAL SOLUTION PROFILE</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Free mobile and web-based app where you can track public outpatient appointments and referrals for yourself or those in your care.</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Created by healthcare professionals and the Department of Health in Western Australia thus proving clinical evidence for safety and efficacy.</w:t>
      </w:r>
    </w:p>
    <w:p w:rsidR="00000000" w:rsidDel="00000000" w:rsidP="00000000" w:rsidRDefault="00000000" w:rsidRPr="00000000" w14:paraId="00000053">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ECONOMIC SOLUTION PROFILE</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Healthcare app development cost: $45,000 - $80,000</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Free for patients </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Service provided by the Department of Health of Western Australia.</w:t>
      </w:r>
    </w:p>
    <w:p w:rsidR="00000000" w:rsidDel="00000000" w:rsidP="00000000" w:rsidRDefault="00000000" w:rsidRPr="00000000" w14:paraId="00000057">
      <w:pPr>
        <w:spacing w:after="280" w:before="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UTILISATION PROFILE</w:t>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Download the app to access outpatient information (also available on the website if that is preferred).</w:t>
      </w:r>
    </w:p>
    <w:p w:rsidR="00000000" w:rsidDel="00000000" w:rsidP="00000000" w:rsidRDefault="00000000" w:rsidRPr="00000000" w14:paraId="000000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Create an account using an email provided by the hospital</w:t>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Add patient to the account</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Log in</w:t>
      </w:r>
    </w:p>
    <w:p w:rsidR="00000000" w:rsidDel="00000000" w:rsidP="00000000" w:rsidRDefault="00000000" w:rsidRPr="00000000" w14:paraId="0000005C">
      <w:pPr>
        <w:spacing w:after="280" w:lineRule="auto"/>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EMERGING SOLUTION PROFILE:</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Arial Narrow" w:cs="Arial Narrow" w:eastAsia="Arial Narrow" w:hAnsi="Arial Narrow"/>
          <w:b w:val="0"/>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If adopted by The Alfred it will confront the complex overlapping &amp; fragmented Victorian health care system in comparison to that of Western Australia. In WA this app is used in more than 14 public metropolitan hospitals as well as in regional areas.</w:t>
      </w:r>
    </w:p>
    <w:p w:rsidR="00000000" w:rsidDel="00000000" w:rsidP="00000000" w:rsidRDefault="00000000" w:rsidRPr="00000000" w14:paraId="0000005E">
      <w:pPr>
        <w:spacing w:after="280" w:lineRule="auto"/>
        <w:rPr>
          <w:rFonts w:ascii="Arial Narrow" w:cs="Arial Narrow" w:eastAsia="Arial Narrow" w:hAnsi="Arial Narrow"/>
          <w:sz w:val="22"/>
          <w:szCs w:val="22"/>
        </w:rPr>
      </w:pPr>
      <w:bookmarkStart w:colFirst="0" w:colLast="0" w:name="_heading=h.gjdgxs" w:id="0"/>
      <w:bookmarkEnd w:id="0"/>
      <w:r w:rsidDel="00000000" w:rsidR="00000000" w:rsidRPr="00000000">
        <w:rPr>
          <w:rFonts w:ascii="Arial Narrow" w:cs="Arial Narrow" w:eastAsia="Arial Narrow" w:hAnsi="Arial Narrow"/>
          <w:b w:val="1"/>
          <w:sz w:val="22"/>
          <w:szCs w:val="22"/>
          <w:rtl w:val="0"/>
        </w:rPr>
        <w:t xml:space="preserve"> SOLUTION ALIGNMENT</w:t>
      </w:r>
      <w:r w:rsidDel="00000000" w:rsidR="00000000" w:rsidRPr="00000000">
        <w:rPr>
          <w:rtl w:val="0"/>
        </w:rPr>
      </w:r>
    </w:p>
    <w:tbl>
      <w:tblPr>
        <w:tblStyle w:val="Table3"/>
        <w:tblW w:w="9998.0" w:type="dxa"/>
        <w:jc w:val="left"/>
        <w:tblLayout w:type="fixed"/>
        <w:tblLook w:val="0400"/>
      </w:tblPr>
      <w:tblGrid>
        <w:gridCol w:w="9998"/>
        <w:tblGridChange w:id="0">
          <w:tblGrid>
            <w:gridCol w:w="9998"/>
          </w:tblGrid>
        </w:tblGridChange>
      </w:tblGrid>
      <w:tr>
        <w:trPr>
          <w:cantSplit w:val="0"/>
          <w:trHeight w:val="157" w:hRule="atLeast"/>
          <w:tblHeader w:val="0"/>
        </w:trPr>
        <w:tc>
          <w:tcPr>
            <w:tcBorders>
              <w:top w:color="000000" w:space="0" w:sz="6" w:val="single"/>
              <w:left w:color="000000" w:space="0" w:sz="6" w:val="single"/>
              <w:bottom w:color="000000" w:space="0" w:sz="8" w:val="single"/>
              <w:right w:color="000000" w:space="0" w:sz="6" w:val="single"/>
            </w:tcBorders>
            <w:shd w:fill="000000" w:val="clear"/>
            <w:tcMar>
              <w:top w:w="72.0" w:type="dxa"/>
              <w:left w:w="144.0" w:type="dxa"/>
              <w:bottom w:w="72.0" w:type="dxa"/>
              <w:right w:w="144.0" w:type="dxa"/>
            </w:tcMar>
          </w:tcPr>
          <w:p w:rsidR="00000000" w:rsidDel="00000000" w:rsidP="00000000" w:rsidRDefault="00000000" w:rsidRPr="00000000" w14:paraId="0000005F">
            <w:pPr>
              <w:jc w:val="center"/>
              <w:rPr>
                <w:rFonts w:ascii="Arial Narrow" w:cs="Arial Narrow" w:eastAsia="Arial Narrow" w:hAnsi="Arial Narrow"/>
                <w:color w:val="ffffff"/>
                <w:sz w:val="22"/>
                <w:szCs w:val="22"/>
              </w:rPr>
            </w:pPr>
            <w:r w:rsidDel="00000000" w:rsidR="00000000" w:rsidRPr="00000000">
              <w:rPr>
                <w:rFonts w:ascii="Arial Narrow" w:cs="Arial Narrow" w:eastAsia="Arial Narrow" w:hAnsi="Arial Narrow"/>
                <w:color w:val="ffffff"/>
                <w:sz w:val="22"/>
                <w:szCs w:val="22"/>
                <w:rtl w:val="0"/>
              </w:rPr>
              <w:t xml:space="preserve">Acceptance Criteria</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6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lift the stress of missing appointments as well as prevent confusion related to miscommunication.</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61">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accessible by more than 50% of patients thus increasing the number of participants completing the clinical trials on time.</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6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accessible by carers, as well as the patients themselves and study coordinators.</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6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decrease the repetitive workload imposed on clinical trial coordinators </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6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intuitive and have a simple user interface, adequate to the physical and mental barriers of the demographic.</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92d050" w:val="clear"/>
            <w:tcMar>
              <w:top w:w="72.0" w:type="dxa"/>
              <w:left w:w="144.0" w:type="dxa"/>
              <w:bottom w:w="72.0" w:type="dxa"/>
              <w:right w:w="144.0" w:type="dxa"/>
            </w:tcMar>
          </w:tcPr>
          <w:p w:rsidR="00000000" w:rsidDel="00000000" w:rsidP="00000000" w:rsidRDefault="00000000" w:rsidRPr="00000000" w14:paraId="00000065">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have the capability of the target size of 75-100 patients per year, as well as the study coordinators involved.</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d99694" w:val="clear"/>
            <w:tcMar>
              <w:top w:w="72.0" w:type="dxa"/>
              <w:left w:w="144.0" w:type="dxa"/>
              <w:bottom w:w="72.0" w:type="dxa"/>
              <w:right w:w="144.0" w:type="dxa"/>
            </w:tcMar>
          </w:tcPr>
          <w:p w:rsidR="00000000" w:rsidDel="00000000" w:rsidP="00000000" w:rsidRDefault="00000000" w:rsidRPr="00000000" w14:paraId="0000006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be scalable to other clinical trials at The Alfred, as well as its Partners and other hospitals in Victoria.</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ffc000" w:val="clear"/>
            <w:tcMar>
              <w:top w:w="72.0" w:type="dxa"/>
              <w:left w:w="144.0" w:type="dxa"/>
              <w:bottom w:w="72.0" w:type="dxa"/>
              <w:right w:w="144.0" w:type="dxa"/>
            </w:tcMar>
          </w:tcPr>
          <w:p w:rsidR="00000000" w:rsidDel="00000000" w:rsidP="00000000" w:rsidRDefault="00000000" w:rsidRPr="00000000" w14:paraId="00000067">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must include criteria that differentiates it from other appointment systems.</w:t>
            </w:r>
          </w:p>
        </w:tc>
      </w:tr>
      <w:tr>
        <w:trPr>
          <w:cantSplit w:val="0"/>
          <w:trHeight w:val="406" w:hRule="atLeast"/>
          <w:tblHeader w:val="0"/>
        </w:trPr>
        <w:tc>
          <w:tcPr>
            <w:tcBorders>
              <w:top w:color="000000" w:space="0" w:sz="8" w:val="single"/>
              <w:left w:color="000000" w:space="0" w:sz="8" w:val="single"/>
              <w:bottom w:color="000000" w:space="0" w:sz="8" w:val="single"/>
              <w:right w:color="000000" w:space="0" w:sz="8" w:val="single"/>
            </w:tcBorders>
            <w:shd w:fill="d99594" w:val="clear"/>
            <w:tcMar>
              <w:top w:w="72.0" w:type="dxa"/>
              <w:left w:w="144.0" w:type="dxa"/>
              <w:bottom w:w="72.0" w:type="dxa"/>
              <w:right w:w="144.0" w:type="dxa"/>
            </w:tcMar>
          </w:tcPr>
          <w:p w:rsidR="00000000" w:rsidDel="00000000" w:rsidP="00000000" w:rsidRDefault="00000000" w:rsidRPr="00000000" w14:paraId="00000068">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implementation should fit the capabilities of the project members.</w:t>
            </w:r>
          </w:p>
          <w:p w:rsidR="00000000" w:rsidDel="00000000" w:rsidP="00000000" w:rsidRDefault="00000000" w:rsidRPr="00000000" w14:paraId="0000006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UNLIKELY given it requires changing the Victorian Healthcare System.</w:t>
            </w:r>
          </w:p>
        </w:tc>
      </w:tr>
    </w:tbl>
    <w:p w:rsidR="00000000" w:rsidDel="00000000" w:rsidP="00000000" w:rsidRDefault="00000000" w:rsidRPr="00000000" w14:paraId="0000006A">
      <w:pPr>
        <w:spacing w:after="280" w:lineRule="auto"/>
        <w:rPr>
          <w:rFonts w:ascii="Arial Narrow" w:cs="Arial Narrow" w:eastAsia="Arial Narrow" w:hAnsi="Arial Narrow"/>
        </w:rPr>
      </w:pPr>
      <w:bookmarkStart w:colFirst="0" w:colLast="0" w:name="_heading=h.gjdgxs" w:id="0"/>
      <w:bookmarkEnd w:id="0"/>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Arial Narrow" w:cs="Arial Narrow" w:eastAsia="Arial Narrow" w:hAnsi="Arial Narro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Arial Narrow" w:cs="Arial Narrow" w:eastAsia="Arial Narrow" w:hAnsi="Arial Narro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Arial Narrow" w:cs="Arial Narrow" w:eastAsia="Arial Narrow" w:hAnsi="Arial Narro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Arial Narrow" w:cs="Arial Narrow" w:eastAsia="Arial Narrow" w:hAnsi="Arial Narro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rsid w:val="002D46A9"/>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NormalWeb">
    <w:name w:val="Normal (Web)"/>
    <w:basedOn w:val="Normal"/>
    <w:uiPriority w:val="99"/>
    <w:unhideWhenUsed w:val="1"/>
    <w:rsid w:val="007F6A94"/>
    <w:pPr>
      <w:spacing w:after="100" w:afterAutospacing="1" w:before="100" w:beforeAutospacing="1"/>
    </w:pPr>
    <w:rPr>
      <w:rFonts w:ascii="Times New Roman" w:cs="Times New Roman" w:eastAsia="Times New Roman" w:hAnsi="Times New Roman"/>
      <w:lang w:val="en-US"/>
    </w:rPr>
  </w:style>
  <w:style w:type="paragraph" w:styleId="ListParagraph">
    <w:name w:val="List Paragraph"/>
    <w:basedOn w:val="Normal"/>
    <w:uiPriority w:val="34"/>
    <w:qFormat w:val="1"/>
    <w:rsid w:val="007F6A94"/>
    <w:pPr>
      <w:ind w:left="720"/>
      <w:contextualSpacing w:val="1"/>
    </w:pPr>
  </w:style>
  <w:style w:type="table" w:styleId="TableGrid">
    <w:name w:val="Table Grid"/>
    <w:basedOn w:val="TableNormal"/>
    <w:uiPriority w:val="39"/>
    <w:rsid w:val="0078447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d4/QEDpiyDmhvZyHZhbk0SV8Fg==">AMUW2mUYMoodhqWi/UpkFRJnly+ds+d/I/0c1ls5Lz6Qu8LSPG0gKwLj8RSIBgTk28rk0VQBNTVqZ/EfJjvzdhRshf0UO0hI3IrCcENnZpx3H0HTjVxOU68UECIg36H/0I0uShOPVkCR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2022-12-01T02:57:00Z</dcterms:created>
  <dc:creator>Maria</dc:creator>
</cp:coreProperties>
</file>