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18"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0"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19" name="image1.jpg"/>
            <a:graphic>
              <a:graphicData uri="http://schemas.openxmlformats.org/drawingml/2006/picture">
                <pic:pic>
                  <pic:nvPicPr>
                    <pic:cNvPr id="0" name="image1.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NEPHROS</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1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Nandini Pandya, Upani Mapala-Gamage</w:t>
      </w:r>
    </w:p>
    <w:p w:rsidR="00000000" w:rsidDel="00000000" w:rsidP="00000000" w:rsidRDefault="00000000" w:rsidRPr="00000000" w14:paraId="00000006">
      <w:pPr>
        <w:numPr>
          <w:ilvl w:val="0"/>
          <w:numId w:val="4"/>
        </w:numPr>
        <w:ind w:left="720" w:hanging="36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Mission Statemen</w:t>
      </w:r>
      <w:r w:rsidDel="00000000" w:rsidR="00000000" w:rsidRPr="00000000">
        <w:rPr>
          <w:rFonts w:ascii="Arial Narrow" w:cs="Arial Narrow" w:eastAsia="Arial Narrow" w:hAnsi="Arial Narrow"/>
          <w:sz w:val="22"/>
          <w:szCs w:val="22"/>
          <w:rtl w:val="0"/>
        </w:rPr>
        <w:t xml:space="preserve">t:</w:t>
      </w:r>
      <w:r w:rsidDel="00000000" w:rsidR="00000000" w:rsidRPr="00000000">
        <w:rPr>
          <w:rFonts w:ascii="Arial Narrow" w:cs="Arial Narrow" w:eastAsia="Arial Narrow" w:hAnsi="Arial Narrow"/>
          <w:color w:val="0070c0"/>
          <w:sz w:val="22"/>
          <w:szCs w:val="22"/>
          <w:rtl w:val="0"/>
        </w:rPr>
        <w:t xml:space="preserve"> </w:t>
      </w:r>
      <w:r w:rsidDel="00000000" w:rsidR="00000000" w:rsidRPr="00000000">
        <w:rPr>
          <w:rFonts w:ascii="Arial Narrow" w:cs="Arial Narrow" w:eastAsia="Arial Narrow" w:hAnsi="Arial Narrow"/>
          <w:sz w:val="22"/>
          <w:szCs w:val="22"/>
          <w:rtl w:val="0"/>
        </w:rPr>
        <w:t xml:space="preserve">To develop a tool to reduce the rate of complications such as preoperative bleeding and sepsis infection caused by inaccurate puncturing during percutaneous nephrolithotomy (PCNL) kidney stone removal surgery.</w:t>
      </w: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8">
      <w:pPr>
        <w:numPr>
          <w:ilvl w:val="0"/>
          <w:numId w:val="4"/>
        </w:numPr>
        <w:ind w:left="720" w:hanging="36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 Acceptance Criteria</w:t>
      </w:r>
    </w:p>
    <w:p w:rsidR="00000000" w:rsidDel="00000000" w:rsidP="00000000" w:rsidRDefault="00000000" w:rsidRPr="00000000" w14:paraId="00000009">
      <w:pPr>
        <w:numPr>
          <w:ilvl w:val="0"/>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prevent the need for multiple punctures</w:t>
      </w:r>
    </w:p>
    <w:p w:rsidR="00000000" w:rsidDel="00000000" w:rsidP="00000000" w:rsidRDefault="00000000" w:rsidRPr="00000000" w14:paraId="0000000A">
      <w:pPr>
        <w:numPr>
          <w:ilvl w:val="0"/>
          <w:numId w:val="5"/>
        </w:numPr>
        <w:pBdr>
          <w:top w:space="0" w:sz="0" w:val="nil"/>
          <w:left w:space="0" w:sz="0" w:val="nil"/>
          <w:bottom w:space="0" w:sz="0" w:val="nil"/>
          <w:right w:space="0" w:sz="0" w:val="nil"/>
          <w:between w:space="0" w:sz="0" w:val="nil"/>
        </w:pBd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reduce levels of sepsis and bleeding rates and is able to retain organ function. </w:t>
      </w:r>
    </w:p>
    <w:p w:rsidR="00000000" w:rsidDel="00000000" w:rsidP="00000000" w:rsidRDefault="00000000" w:rsidRPr="00000000" w14:paraId="0000000B">
      <w:pPr>
        <w:numPr>
          <w:ilvl w:val="0"/>
          <w:numId w:val="5"/>
        </w:numPr>
        <w:pBdr>
          <w:top w:space="0" w:sz="0" w:val="nil"/>
          <w:left w:space="0" w:sz="0" w:val="nil"/>
          <w:bottom w:space="0" w:sz="0" w:val="nil"/>
          <w:right w:space="0" w:sz="0" w:val="nil"/>
          <w:between w:space="0" w:sz="0" w:val="nil"/>
        </w:pBd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easily accessible and can be incorporated into the existing healthcare system.</w:t>
      </w:r>
    </w:p>
    <w:p w:rsidR="00000000" w:rsidDel="00000000" w:rsidP="00000000" w:rsidRDefault="00000000" w:rsidRPr="00000000" w14:paraId="0000000C">
      <w:pPr>
        <w:numPr>
          <w:ilvl w:val="0"/>
          <w:numId w:val="5"/>
        </w:numPr>
        <w:pBdr>
          <w:top w:space="0" w:sz="0" w:val="nil"/>
          <w:left w:space="0" w:sz="0" w:val="nil"/>
          <w:bottom w:space="0" w:sz="0" w:val="nil"/>
          <w:right w:space="0" w:sz="0" w:val="nil"/>
          <w:between w:space="0" w:sz="0" w:val="nil"/>
        </w:pBd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allow surgeons to easily navigate 3D visuals of the kidney, register stone location and plan the most optimal route of puncture.</w:t>
      </w:r>
    </w:p>
    <w:p w:rsidR="00000000" w:rsidDel="00000000" w:rsidP="00000000" w:rsidRDefault="00000000" w:rsidRPr="00000000" w14:paraId="0000000D">
      <w:pPr>
        <w:numPr>
          <w:ilvl w:val="0"/>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better assists operators during the procedure also increasing surgical confidence.</w:t>
      </w:r>
    </w:p>
    <w:p w:rsidR="00000000" w:rsidDel="00000000" w:rsidP="00000000" w:rsidRDefault="00000000" w:rsidRPr="00000000" w14:paraId="0000000E">
      <w:pPr>
        <w:numPr>
          <w:ilvl w:val="0"/>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time neutral - result in lesser subsequent visits to the hospital for the patient due to decreased postoperative complications - quality of life</w:t>
      </w:r>
    </w:p>
    <w:p w:rsidR="00000000" w:rsidDel="00000000" w:rsidP="00000000" w:rsidRDefault="00000000" w:rsidRPr="00000000" w14:paraId="0000000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0">
      <w:pPr>
        <w:numPr>
          <w:ilvl w:val="0"/>
          <w:numId w:val="4"/>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color w:val="000000"/>
          <w:sz w:val="22"/>
          <w:szCs w:val="22"/>
          <w:rtl w:val="0"/>
        </w:rPr>
        <w:t xml:space="preserve">Needs Statement</w:t>
      </w:r>
      <w:r w:rsidDel="00000000" w:rsidR="00000000" w:rsidRPr="00000000">
        <w:rPr>
          <w:rFonts w:ascii="Arial Narrow" w:cs="Arial Narrow" w:eastAsia="Arial Narrow" w:hAnsi="Arial Narrow"/>
          <w:sz w:val="22"/>
          <w:szCs w:val="22"/>
          <w:rtl w:val="0"/>
        </w:rPr>
        <w:t xml:space="preserve">: A way to reduce the number of punctures during PCNL kidney stone surgery thereby reducing preoperative bleeding rates and minimising complications.</w:t>
      </w:r>
    </w:p>
    <w:p w:rsidR="00000000" w:rsidDel="00000000" w:rsidP="00000000" w:rsidRDefault="00000000" w:rsidRPr="00000000" w14:paraId="00000011">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2">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P -</w:t>
      </w:r>
      <w:r w:rsidDel="00000000" w:rsidR="00000000" w:rsidRPr="00000000">
        <w:rPr>
          <w:rFonts w:ascii="Arial Narrow" w:cs="Arial Narrow" w:eastAsia="Arial Narrow" w:hAnsi="Arial Narrow"/>
          <w:sz w:val="22"/>
          <w:szCs w:val="22"/>
          <w:rtl w:val="0"/>
        </w:rPr>
        <w:t xml:space="preserve"> Problem:</w:t>
      </w:r>
    </w:p>
    <w:p w:rsidR="00000000" w:rsidDel="00000000" w:rsidP="00000000" w:rsidRDefault="00000000" w:rsidRPr="00000000" w14:paraId="00000013">
      <w:pPr>
        <w:numPr>
          <w:ilvl w:val="0"/>
          <w:numId w:val="3"/>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excessive bleeding and infection rates are relatively high leading to organ failure or in some cases, death</w:t>
      </w:r>
    </w:p>
    <w:p w:rsidR="00000000" w:rsidDel="00000000" w:rsidP="00000000" w:rsidRDefault="00000000" w:rsidRPr="00000000" w14:paraId="00000014">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5">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P-</w:t>
      </w:r>
      <w:r w:rsidDel="00000000" w:rsidR="00000000" w:rsidRPr="00000000">
        <w:rPr>
          <w:rFonts w:ascii="Arial Narrow" w:cs="Arial Narrow" w:eastAsia="Arial Narrow" w:hAnsi="Arial Narrow"/>
          <w:sz w:val="22"/>
          <w:szCs w:val="22"/>
          <w:rtl w:val="0"/>
        </w:rPr>
        <w:t xml:space="preserve"> Population: </w:t>
      </w:r>
    </w:p>
    <w:p w:rsidR="00000000" w:rsidDel="00000000" w:rsidP="00000000" w:rsidRDefault="00000000" w:rsidRPr="00000000" w14:paraId="00000016">
      <w:pPr>
        <w:numPr>
          <w:ilvl w:val="0"/>
          <w:numId w:val="2"/>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patients, surgeons, healthcare team (consulting doctors, nurses…), medical technology manufacturing companies, radiologists (if MRI-guided surgery system)</w:t>
      </w:r>
    </w:p>
    <w:p w:rsidR="00000000" w:rsidDel="00000000" w:rsidP="00000000" w:rsidRDefault="00000000" w:rsidRPr="00000000" w14:paraId="0000001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8">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O-</w:t>
      </w:r>
      <w:r w:rsidDel="00000000" w:rsidR="00000000" w:rsidRPr="00000000">
        <w:rPr>
          <w:rFonts w:ascii="Arial Narrow" w:cs="Arial Narrow" w:eastAsia="Arial Narrow" w:hAnsi="Arial Narrow"/>
          <w:sz w:val="22"/>
          <w:szCs w:val="22"/>
          <w:rtl w:val="0"/>
        </w:rPr>
        <w:t xml:space="preserve">Outcome:</w:t>
      </w:r>
    </w:p>
    <w:p w:rsidR="00000000" w:rsidDel="00000000" w:rsidP="00000000" w:rsidRDefault="00000000" w:rsidRPr="00000000" w14:paraId="00000019">
      <w:pPr>
        <w:numPr>
          <w:ilvl w:val="0"/>
          <w:numId w:val="8"/>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Reduced blood loss, risk of sepsis, hemorrhaging or risk of adjacent organ injury.</w:t>
      </w:r>
    </w:p>
    <w:p w:rsidR="00000000" w:rsidDel="00000000" w:rsidP="00000000" w:rsidRDefault="00000000" w:rsidRPr="00000000" w14:paraId="0000001A">
      <w:pPr>
        <w:numPr>
          <w:ilvl w:val="0"/>
          <w:numId w:val="8"/>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reduction in fragments of kidney stones that are retained due to inaccurate visualisation by traditional pre-surgery scans</w:t>
      </w:r>
    </w:p>
    <w:p w:rsidR="00000000" w:rsidDel="00000000" w:rsidP="00000000" w:rsidRDefault="00000000" w:rsidRPr="00000000" w14:paraId="0000001B">
      <w:pPr>
        <w:numPr>
          <w:ilvl w:val="0"/>
          <w:numId w:val="8"/>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Kidney function retained and decreased risk of death</w:t>
      </w:r>
    </w:p>
    <w:p w:rsidR="00000000" w:rsidDel="00000000" w:rsidP="00000000" w:rsidRDefault="00000000" w:rsidRPr="00000000" w14:paraId="0000001C">
      <w:pPr>
        <w:numPr>
          <w:ilvl w:val="0"/>
          <w:numId w:val="8"/>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Increased confidence of surgeons when conducting the surgery </w:t>
      </w:r>
    </w:p>
    <w:p w:rsidR="00000000" w:rsidDel="00000000" w:rsidP="00000000" w:rsidRDefault="00000000" w:rsidRPr="00000000" w14:paraId="0000001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3">
      <w:pPr>
        <w:numPr>
          <w:ilvl w:val="0"/>
          <w:numId w:val="4"/>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Disease State Fundamentals</w:t>
      </w:r>
    </w:p>
    <w:p w:rsidR="00000000" w:rsidDel="00000000" w:rsidP="00000000" w:rsidRDefault="00000000" w:rsidRPr="00000000" w14:paraId="00000024">
      <w:pPr>
        <w:rPr>
          <w:rFonts w:ascii="Arial Narrow" w:cs="Arial Narrow" w:eastAsia="Arial Narrow" w:hAnsi="Arial Narrow"/>
          <w:sz w:val="22"/>
          <w:szCs w:val="22"/>
        </w:rPr>
      </w:pPr>
      <w:r w:rsidDel="00000000" w:rsidR="00000000" w:rsidRPr="00000000">
        <w:rPr>
          <w:rtl w:val="0"/>
        </w:rPr>
      </w:r>
    </w:p>
    <w:tbl>
      <w:tblPr>
        <w:tblStyle w:val="Table1"/>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63"/>
        <w:gridCol w:w="6582"/>
        <w:tblGridChange w:id="0">
          <w:tblGrid>
            <w:gridCol w:w="2763"/>
            <w:gridCol w:w="6582"/>
          </w:tblGrid>
        </w:tblGridChange>
      </w:tblGrid>
      <w:tr>
        <w:trPr>
          <w:cantSplit w:val="0"/>
          <w:trHeight w:val="26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5">
            <w:pPr>
              <w:widowControl w:val="0"/>
              <w:ind w:left="120" w:firstLine="0"/>
              <w:rPr>
                <w:rFonts w:ascii="Arial Narrow" w:cs="Arial Narrow" w:eastAsia="Arial Narrow" w:hAnsi="Arial Narrow"/>
                <w:b w:val="1"/>
                <w:color w:val="000000"/>
              </w:rPr>
            </w:pPr>
            <w:r w:rsidDel="00000000" w:rsidR="00000000" w:rsidRPr="00000000">
              <w:rPr>
                <w:rFonts w:ascii="Arial Narrow" w:cs="Arial Narrow" w:eastAsia="Arial Narrow" w:hAnsi="Arial Narrow"/>
                <w:b w:val="1"/>
                <w:rtl w:val="0"/>
              </w:rPr>
              <w:t xml:space="preserve">Focus area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6">
            <w:pPr>
              <w:widowControl w:val="0"/>
              <w:rPr>
                <w:rFonts w:ascii="Arial Narrow" w:cs="Arial Narrow" w:eastAsia="Arial Narrow" w:hAnsi="Arial Narrow"/>
                <w:b w:val="1"/>
                <w:color w:val="000000"/>
              </w:rPr>
            </w:pPr>
            <w:r w:rsidDel="00000000" w:rsidR="00000000" w:rsidRPr="00000000">
              <w:rPr>
                <w:rFonts w:ascii="Arial Narrow" w:cs="Arial Narrow" w:eastAsia="Arial Narrow" w:hAnsi="Arial Narrow"/>
                <w:b w:val="1"/>
                <w:rtl w:val="0"/>
              </w:rPr>
              <w:t xml:space="preserve">Description</w:t>
            </w:r>
            <w:r w:rsidDel="00000000" w:rsidR="00000000" w:rsidRPr="00000000">
              <w:rPr>
                <w:rtl w:val="0"/>
              </w:rPr>
            </w:r>
          </w:p>
        </w:tc>
      </w:tr>
      <w:tr>
        <w:trPr>
          <w:cantSplit w:val="0"/>
          <w:trHeight w:val="26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7">
            <w:pPr>
              <w:widowControl w:val="0"/>
              <w:ind w:left="120" w:firstLine="0"/>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Epidemiology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8">
            <w:pPr>
              <w:widowControl w:val="0"/>
              <w:rPr>
                <w:rFonts w:ascii="Arial Narrow" w:cs="Arial Narrow" w:eastAsia="Arial Narrow" w:hAnsi="Arial Narrow"/>
              </w:rPr>
            </w:pPr>
            <w:bookmarkStart w:colFirst="0" w:colLast="0" w:name="_heading=h.gjdgxs" w:id="0"/>
            <w:bookmarkEnd w:id="0"/>
            <w:r w:rsidDel="00000000" w:rsidR="00000000" w:rsidRPr="00000000">
              <w:rPr>
                <w:rFonts w:ascii="Arial Narrow" w:cs="Arial Narrow" w:eastAsia="Arial Narrow" w:hAnsi="Arial Narrow"/>
                <w:u w:val="single"/>
                <w:rtl w:val="0"/>
              </w:rPr>
              <w:t xml:space="preserve">Cause:</w:t>
            </w:r>
            <w:r w:rsidDel="00000000" w:rsidR="00000000" w:rsidRPr="00000000">
              <w:rPr>
                <w:rFonts w:ascii="Arial Narrow" w:cs="Arial Narrow" w:eastAsia="Arial Narrow" w:hAnsi="Arial Narrow"/>
                <w:rtl w:val="0"/>
              </w:rPr>
              <w:t xml:space="preserve"> stones form when urine contain minerals such as calcium than form crystals which urine cannot dilute</w:t>
            </w:r>
          </w:p>
          <w:p w:rsidR="00000000" w:rsidDel="00000000" w:rsidP="00000000" w:rsidRDefault="00000000" w:rsidRPr="00000000" w14:paraId="00000029">
            <w:pPr>
              <w:widowControl w:val="0"/>
              <w:rPr>
                <w:rFonts w:ascii="Arial Narrow" w:cs="Arial Narrow" w:eastAsia="Arial Narrow" w:hAnsi="Arial Narrow"/>
              </w:rPr>
            </w:pPr>
            <w:r w:rsidDel="00000000" w:rsidR="00000000" w:rsidRPr="00000000">
              <w:rPr>
                <w:rFonts w:ascii="Arial Narrow" w:cs="Arial Narrow" w:eastAsia="Arial Narrow" w:hAnsi="Arial Narrow"/>
                <w:u w:val="single"/>
                <w:rtl w:val="0"/>
              </w:rPr>
              <w:t xml:space="preserve">Distribution:</w:t>
            </w:r>
            <w:r w:rsidDel="00000000" w:rsidR="00000000" w:rsidRPr="00000000">
              <w:rPr>
                <w:rFonts w:ascii="Arial Narrow" w:cs="Arial Narrow" w:eastAsia="Arial Narrow" w:hAnsi="Arial Narrow"/>
                <w:rtl w:val="0"/>
              </w:rPr>
              <w:t xml:space="preserve"> Relatively high prevalence: occurs in 7% of women and 12% of men. Risk increased with family history. Most patients are between ages of 30-60 yrs with peak incidence in ages between 35-45. </w:t>
            </w:r>
          </w:p>
          <w:p w:rsidR="00000000" w:rsidDel="00000000" w:rsidP="00000000" w:rsidRDefault="00000000" w:rsidRPr="00000000" w14:paraId="0000002A">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50% of people will have a recurrence within 5-10 years and 75% within 20yrs. </w:t>
            </w:r>
          </w:p>
          <w:p w:rsidR="00000000" w:rsidDel="00000000" w:rsidP="00000000" w:rsidRDefault="00000000" w:rsidRPr="00000000" w14:paraId="0000002B">
            <w:pPr>
              <w:widowControl w:val="0"/>
              <w:rPr>
                <w:rFonts w:ascii="Arial Narrow" w:cs="Arial Narrow" w:eastAsia="Arial Narrow" w:hAnsi="Arial Narrow"/>
              </w:rPr>
            </w:pPr>
            <w:r w:rsidDel="00000000" w:rsidR="00000000" w:rsidRPr="00000000">
              <w:rPr>
                <w:rFonts w:ascii="Arial Narrow" w:cs="Arial Narrow" w:eastAsia="Arial Narrow" w:hAnsi="Arial Narrow"/>
                <w:u w:val="single"/>
                <w:rtl w:val="0"/>
              </w:rPr>
              <w:t xml:space="preserve">Control of disease in population:</w:t>
            </w:r>
            <w:r w:rsidDel="00000000" w:rsidR="00000000" w:rsidRPr="00000000">
              <w:rPr>
                <w:rFonts w:ascii="Arial Narrow" w:cs="Arial Narrow" w:eastAsia="Arial Narrow" w:hAnsi="Arial Narrow"/>
                <w:rtl w:val="0"/>
              </w:rPr>
              <w:t xml:space="preserve"> The risk of developing the disease can be mitigated by changes in diet and fluid intake (refer to risk factors in pathophysiology section). </w:t>
            </w:r>
          </w:p>
          <w:p w:rsidR="00000000" w:rsidDel="00000000" w:rsidP="00000000" w:rsidRDefault="00000000" w:rsidRPr="00000000" w14:paraId="0000002C">
            <w:pPr>
              <w:widowControl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D">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Small stones with minimal symptoms can be removed by drinking water, taking pain relievers and/or other medication to help pass the stone through urination. </w:t>
            </w:r>
          </w:p>
          <w:p w:rsidR="00000000" w:rsidDel="00000000" w:rsidP="00000000" w:rsidRDefault="00000000" w:rsidRPr="00000000" w14:paraId="0000002E">
            <w:pPr>
              <w:widowControl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F">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Larger stones or those that cause symptoms such as bleeding, pain or infection can be treated using methods such as: extracorporeal shock wave lithotripsy (ESWL); using a ureteroscope equipped with a camera and specialised tools to break the stones; parathyroid gland surgery (for calcium phosphate stones that are caused by overactive parathyroid glands); or percutaneous nephrolithotomy (PCNL) usually recommended when ESWL is unsuccessful. [1]</w:t>
            </w:r>
          </w:p>
          <w:p w:rsidR="00000000" w:rsidDel="00000000" w:rsidP="00000000" w:rsidRDefault="00000000" w:rsidRPr="00000000" w14:paraId="00000030">
            <w:pPr>
              <w:widowControl w:val="0"/>
              <w:rPr>
                <w:rFonts w:ascii="Arial Narrow" w:cs="Arial Narrow" w:eastAsia="Arial Narrow" w:hAnsi="Arial Narrow"/>
                <w:color w:val="000000"/>
              </w:rPr>
            </w:pPr>
            <w:r w:rsidDel="00000000" w:rsidR="00000000" w:rsidRPr="00000000">
              <w:rPr>
                <w:rtl w:val="0"/>
              </w:rPr>
            </w:r>
          </w:p>
        </w:tc>
      </w:tr>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1">
            <w:pPr>
              <w:widowControl w:val="0"/>
              <w:spacing w:line="228" w:lineRule="auto"/>
              <w:ind w:left="128" w:right="556" w:hanging="18.000000000000007"/>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Anatomy and physiology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2">
            <w:pPr>
              <w:widowControl w:val="0"/>
              <w:spacing w:before="4"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kidneys filter blood and remove the extra waste and fluid as urine. The production of urine involves complex steps of excretion and reabsorption, and is necessary to maintain a stable balance of body chemicals.</w:t>
            </w:r>
          </w:p>
        </w:tc>
      </w:tr>
      <w:tr>
        <w:trPr>
          <w:cantSplit w:val="0"/>
          <w:trHeight w:val="26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3">
            <w:pPr>
              <w:widowControl w:val="0"/>
              <w:ind w:left="120" w:firstLine="0"/>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Pathophysiology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4">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Nephrolithiasis or Renal Calculi (commonly referred to as kidney stones) are located in the kidney. Kidney stones are solid crystals formed from the salts in urine and can block the flow of urine and cause infection, kidney damage and in serious cases, kidney failure [2]. Blockage of the ureter from the kidneys results in patients’ discomfort urinating and sometimes pain and bleeding [1] . </w:t>
            </w:r>
          </w:p>
          <w:p w:rsidR="00000000" w:rsidDel="00000000" w:rsidP="00000000" w:rsidRDefault="00000000" w:rsidRPr="00000000" w14:paraId="00000035">
            <w:pPr>
              <w:widowControl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6">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Formation of crystals in supersaturated urine, a process not completely understood but calcium oxalate stones develop at Randall’s plaque on the renal papillary surfaces. 80% of stones are calcium based.</w:t>
            </w:r>
          </w:p>
          <w:p w:rsidR="00000000" w:rsidDel="00000000" w:rsidP="00000000" w:rsidRDefault="00000000" w:rsidRPr="00000000" w14:paraId="00000037">
            <w:pPr>
              <w:widowControl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8">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Recent theories: </w:t>
            </w:r>
          </w:p>
          <w:p w:rsidR="00000000" w:rsidDel="00000000" w:rsidP="00000000" w:rsidRDefault="00000000" w:rsidRPr="00000000" w14:paraId="00000039">
            <w:pPr>
              <w:widowControl w:val="0"/>
              <w:numPr>
                <w:ilvl w:val="0"/>
                <w:numId w:val="6"/>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cell surface molecules which enhances or inhibits crystal adhesion</w:t>
            </w:r>
          </w:p>
          <w:p w:rsidR="00000000" w:rsidDel="00000000" w:rsidP="00000000" w:rsidRDefault="00000000" w:rsidRPr="00000000" w14:paraId="0000003A">
            <w:pPr>
              <w:widowControl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B">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Risk factors (to developing kidney stones):</w:t>
            </w:r>
          </w:p>
          <w:p w:rsidR="00000000" w:rsidDel="00000000" w:rsidP="00000000" w:rsidRDefault="00000000" w:rsidRPr="00000000" w14:paraId="0000003C">
            <w:pPr>
              <w:widowControl w:val="0"/>
              <w:numPr>
                <w:ilvl w:val="0"/>
                <w:numId w:val="7"/>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low fluid intake</w:t>
            </w:r>
          </w:p>
          <w:p w:rsidR="00000000" w:rsidDel="00000000" w:rsidP="00000000" w:rsidRDefault="00000000" w:rsidRPr="00000000" w14:paraId="0000003D">
            <w:pPr>
              <w:widowControl w:val="0"/>
              <w:numPr>
                <w:ilvl w:val="0"/>
                <w:numId w:val="7"/>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hypertension</w:t>
            </w:r>
          </w:p>
          <w:p w:rsidR="00000000" w:rsidDel="00000000" w:rsidP="00000000" w:rsidRDefault="00000000" w:rsidRPr="00000000" w14:paraId="0000003E">
            <w:pPr>
              <w:widowControl w:val="0"/>
              <w:numPr>
                <w:ilvl w:val="0"/>
                <w:numId w:val="7"/>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hypercalciuria (excessive calcium), or inherited disorders that cause increased absorption of calcium from food</w:t>
            </w:r>
          </w:p>
          <w:p w:rsidR="00000000" w:rsidDel="00000000" w:rsidP="00000000" w:rsidRDefault="00000000" w:rsidRPr="00000000" w14:paraId="0000003F">
            <w:pPr>
              <w:widowControl w:val="0"/>
              <w:numPr>
                <w:ilvl w:val="0"/>
                <w:numId w:val="7"/>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primary hyperparathyroidism </w:t>
            </w:r>
          </w:p>
          <w:p w:rsidR="00000000" w:rsidDel="00000000" w:rsidP="00000000" w:rsidRDefault="00000000" w:rsidRPr="00000000" w14:paraId="00000040">
            <w:pPr>
              <w:widowControl w:val="0"/>
              <w:numPr>
                <w:ilvl w:val="0"/>
                <w:numId w:val="7"/>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high salt diet </w:t>
            </w:r>
          </w:p>
          <w:p w:rsidR="00000000" w:rsidDel="00000000" w:rsidP="00000000" w:rsidRDefault="00000000" w:rsidRPr="00000000" w14:paraId="00000041">
            <w:pPr>
              <w:widowControl w:val="0"/>
              <w:numPr>
                <w:ilvl w:val="0"/>
                <w:numId w:val="7"/>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high animal protein intake</w:t>
            </w:r>
          </w:p>
          <w:p w:rsidR="00000000" w:rsidDel="00000000" w:rsidP="00000000" w:rsidRDefault="00000000" w:rsidRPr="00000000" w14:paraId="00000042">
            <w:pPr>
              <w:widowControl w:val="0"/>
              <w:numPr>
                <w:ilvl w:val="0"/>
                <w:numId w:val="7"/>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Medication (e.g. antibiotics, diuretics, calcium supplements)</w:t>
            </w:r>
          </w:p>
          <w:p w:rsidR="00000000" w:rsidDel="00000000" w:rsidP="00000000" w:rsidRDefault="00000000" w:rsidRPr="00000000" w14:paraId="00000043">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bl>
    <w:p w:rsidR="00000000" w:rsidDel="00000000" w:rsidP="00000000" w:rsidRDefault="00000000" w:rsidRPr="00000000" w14:paraId="00000044">
      <w:pPr>
        <w:widowControl w:val="0"/>
        <w:rPr>
          <w:rFonts w:ascii="Arial" w:cs="Arial" w:eastAsia="Arial" w:hAnsi="Arial"/>
          <w:color w:val="000000"/>
          <w:sz w:val="22"/>
          <w:szCs w:val="22"/>
        </w:rPr>
      </w:pPr>
      <w:r w:rsidDel="00000000" w:rsidR="00000000" w:rsidRPr="00000000">
        <w:rPr>
          <w:rtl w:val="0"/>
        </w:rPr>
      </w:r>
    </w:p>
    <w:tbl>
      <w:tblPr>
        <w:tblStyle w:val="Table2"/>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63"/>
        <w:gridCol w:w="6582"/>
        <w:tblGridChange w:id="0">
          <w:tblGrid>
            <w:gridCol w:w="2763"/>
            <w:gridCol w:w="6582"/>
          </w:tblGrid>
        </w:tblGridChange>
      </w:tblGrid>
      <w:tr>
        <w:trPr>
          <w:cantSplit w:val="0"/>
          <w:trHeight w:val="272"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5">
            <w:pPr>
              <w:widowControl w:val="0"/>
              <w:ind w:left="13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Clinical Presentation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6">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Symptoms depend on the location of the stones - whether in the kidney, ureter or urinary bladder: </w:t>
            </w:r>
          </w:p>
          <w:p w:rsidR="00000000" w:rsidDel="00000000" w:rsidP="00000000" w:rsidRDefault="00000000" w:rsidRPr="00000000" w14:paraId="00000047">
            <w:pPr>
              <w:widowControl w:val="0"/>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intense cramping pain</w:t>
            </w:r>
          </w:p>
          <w:p w:rsidR="00000000" w:rsidDel="00000000" w:rsidP="00000000" w:rsidRDefault="00000000" w:rsidRPr="00000000" w14:paraId="00000048">
            <w:pPr>
              <w:widowControl w:val="0"/>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flank pain</w:t>
            </w:r>
          </w:p>
          <w:p w:rsidR="00000000" w:rsidDel="00000000" w:rsidP="00000000" w:rsidRDefault="00000000" w:rsidRPr="00000000" w14:paraId="00000049">
            <w:pPr>
              <w:widowControl w:val="0"/>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hematuria (bloody urine)</w:t>
            </w:r>
          </w:p>
          <w:p w:rsidR="00000000" w:rsidDel="00000000" w:rsidP="00000000" w:rsidRDefault="00000000" w:rsidRPr="00000000" w14:paraId="0000004A">
            <w:pPr>
              <w:widowControl w:val="0"/>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urinary tract infections</w:t>
            </w:r>
          </w:p>
          <w:p w:rsidR="00000000" w:rsidDel="00000000" w:rsidP="00000000" w:rsidRDefault="00000000" w:rsidRPr="00000000" w14:paraId="0000004B">
            <w:pPr>
              <w:widowControl w:val="0"/>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blockage of urine flow</w:t>
            </w:r>
          </w:p>
          <w:p w:rsidR="00000000" w:rsidDel="00000000" w:rsidP="00000000" w:rsidRDefault="00000000" w:rsidRPr="00000000" w14:paraId="0000004C">
            <w:pPr>
              <w:widowControl w:val="0"/>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dilation of the kidney</w:t>
            </w:r>
          </w:p>
          <w:p w:rsidR="00000000" w:rsidDel="00000000" w:rsidP="00000000" w:rsidRDefault="00000000" w:rsidRPr="00000000" w14:paraId="0000004D">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These conditions may result in nausea and vomiting [4]</w:t>
            </w:r>
          </w:p>
        </w:tc>
      </w:tr>
      <w:tr>
        <w:trPr>
          <w:cantSplit w:val="0"/>
          <w:trHeight w:val="26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Clinical Outcomes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Stones may pass off on their own with little intervention depending on size. Other methods such as shock-wave lithotripsy maybe performed to breakdown stones so that they may pass off on their own</w:t>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if other methods fail, surgery (PCNL).</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Patients typically experience residual soreness but only temporarily. Lingering pain can indicate another stone, obstruction or infection. Some removal procedures such a PCNL and ureteroscopy may require a stent or nephrostomy tube which will be removed typically within a week of the surgery.</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Recovery times vary for each procedure, most patients are fully recovered within 6 weeks and can resume their normal activities. Once a patient has had a kidney stone, they are at an increased risk of getting another one in future</w:t>
            </w:r>
            <w:r w:rsidDel="00000000" w:rsidR="00000000" w:rsidRPr="00000000">
              <w:rPr>
                <w:rtl w:val="0"/>
              </w:rPr>
              <w:t xml:space="preserve"> [5]</w:t>
            </w:r>
            <w:r w:rsidDel="00000000" w:rsidR="00000000" w:rsidRPr="00000000">
              <w:rPr>
                <w:rFonts w:ascii="Arial Narrow" w:cs="Arial Narrow" w:eastAsia="Arial Narrow" w:hAnsi="Arial Narrow"/>
                <w:rtl w:val="0"/>
              </w:rPr>
              <w:t xml:space="preserve"> by about 50% within 5-7 years [6]</w:t>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Studies show that post-PCNL urosepsis occurs in 0.3%-9.3% of patients. This is a potentially life threatening condition and the most common cause of death [7]. </w:t>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A contributing factor to urosepsis is intraoperative blood loss and duration of the surgery. Other complications of PCNL are: haemorrhage, adjacent organ injury, retained stone, loss of kidney function and death </w:t>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r>
        <w:trPr>
          <w:cantSplit w:val="0"/>
          <w:trHeight w:val="2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Economic impact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According to the Kidney Health Australia’s Annual Review (2020), kidney health and kidney diseases cost the Australian economy more than $5 billion a year. Clinical demand is associated with substantial economic burden.</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Occurance of Kidney stones in the working population results in both direct and indirect costs, including the decrease or loss of work productivity. [8]</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In 2005, the Urological Disease in America Project analyzed direct and indirect costs of stone disease using medical and pharmacy claims covering greater than 300,000 people aged 18-64 for calendar year 2000. Actual reimbursement data was used to estimate the cost of services, and linked services to absentee data for more precise estimations of lost productivity. </w:t>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It was reported that a “significant increase in mean annual expenditures for those with a claim for nephrolithiasis (as primary diagnosis) versus similar adults without the condition ($6,532 vs. $3,038). They estimated that, for the &gt;1.3 million people in the labor force between ages 18 and 64, total direct costs of stones constituted ~$4.5 billion among employed individuals”. </w:t>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It was found that “30% of patients missed work because of their condition, with a mean work loss of 19 hours per year. For those requiring inpatient hospitalizations, mean work loss was 47.9 hours, while ambulatory care visits necessitated lost work of 5.1 hours. The authors estimated that treatment of stones was associated with 3.1 million lost workdays per year among the privately insured, concluding that the indirect cost of stones approximated $775 million per year.” [9]</w:t>
            </w:r>
          </w:p>
        </w:tc>
      </w:tr>
    </w:tbl>
    <w:p w:rsidR="00000000" w:rsidDel="00000000" w:rsidP="00000000" w:rsidRDefault="00000000" w:rsidRPr="00000000" w14:paraId="0000006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4">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References</w:t>
      </w:r>
    </w:p>
    <w:tbl>
      <w:tblPr>
        <w:tblStyle w:val="Table3"/>
        <w:tblW w:w="8880.0" w:type="dxa"/>
        <w:jc w:val="left"/>
        <w:tblLayout w:type="fixed"/>
        <w:tblLook w:val="0600"/>
      </w:tblPr>
      <w:tblGrid>
        <w:gridCol w:w="390"/>
        <w:gridCol w:w="8490"/>
        <w:tblGridChange w:id="0">
          <w:tblGrid>
            <w:gridCol w:w="390"/>
            <w:gridCol w:w="8490"/>
          </w:tblGrid>
        </w:tblGridChange>
      </w:tblGrid>
      <w:tr>
        <w:trPr>
          <w:cantSplit w:val="0"/>
          <w:trHeight w:val="270" w:hRule="atLeast"/>
          <w:tblHeader w:val="0"/>
        </w:trPr>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5">
            <w:pP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6">
            <w:pPr>
              <w:spacing w:line="276"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Mayo Clinic, “Kidney Stones, Symptoms and Causes,” </w:t>
            </w:r>
            <w:r w:rsidDel="00000000" w:rsidR="00000000" w:rsidRPr="00000000">
              <w:rPr>
                <w:rFonts w:ascii="Arial Narrow" w:cs="Arial Narrow" w:eastAsia="Arial Narrow" w:hAnsi="Arial Narrow"/>
                <w:rtl w:val="0"/>
              </w:rPr>
              <w:t xml:space="preserve">Patient Care &amp; Health Information, </w:t>
            </w:r>
            <w:r w:rsidDel="00000000" w:rsidR="00000000" w:rsidRPr="00000000">
              <w:rPr>
                <w:rFonts w:ascii="Arial Narrow" w:cs="Arial Narrow" w:eastAsia="Arial Narrow" w:hAnsi="Arial Narrow"/>
                <w:rtl w:val="0"/>
              </w:rPr>
              <w:t xml:space="preserve">2022.</w:t>
            </w:r>
          </w:p>
        </w:tc>
      </w:tr>
      <w:tr>
        <w:trPr>
          <w:cantSplit w:val="0"/>
          <w:trHeight w:val="495" w:hRule="atLeast"/>
          <w:tblHeader w:val="0"/>
        </w:trPr>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7">
            <w:pP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8">
            <w:pPr>
              <w:spacing w:line="276"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Better Health Channel, “Kidney Stones,” 15 09 2022. [Online]. Available: https://www.betterhealth.vic.gov.au/health/conditionsandtreatments/kidney-stones. [Accessed 2022].</w:t>
            </w:r>
          </w:p>
        </w:tc>
      </w:tr>
      <w:tr>
        <w:trPr>
          <w:cantSplit w:val="0"/>
          <w:trHeight w:val="495" w:hRule="atLeast"/>
          <w:tblHeader w:val="0"/>
        </w:trPr>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9">
            <w:pP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A">
            <w:pPr>
              <w:spacing w:line="276"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National Kidney Foundation, “How Your Kidneys Work,” 2022. [Online]. Available: https://www.kidney.org/kidneydisease/howkidneyswrk#causes. [Accessed 2022].</w:t>
            </w:r>
          </w:p>
        </w:tc>
      </w:tr>
      <w:tr>
        <w:trPr>
          <w:cantSplit w:val="0"/>
          <w:trHeight w:val="495" w:hRule="atLeast"/>
          <w:tblHeader w:val="0"/>
        </w:trPr>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B">
            <w:pP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C">
            <w:pPr>
              <w:spacing w:line="276"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 Alelign and B. Petros, “Kidney Stone Disease: An Update on Current Concepts,” </w:t>
            </w:r>
            <w:r w:rsidDel="00000000" w:rsidR="00000000" w:rsidRPr="00000000">
              <w:rPr>
                <w:rFonts w:ascii="Arial Narrow" w:cs="Arial Narrow" w:eastAsia="Arial Narrow" w:hAnsi="Arial Narrow"/>
                <w:rtl w:val="0"/>
              </w:rPr>
              <w:t xml:space="preserve">National Library of Medicine, </w:t>
            </w:r>
            <w:r w:rsidDel="00000000" w:rsidR="00000000" w:rsidRPr="00000000">
              <w:rPr>
                <w:rFonts w:ascii="Arial Narrow" w:cs="Arial Narrow" w:eastAsia="Arial Narrow" w:hAnsi="Arial Narrow"/>
                <w:rtl w:val="0"/>
              </w:rPr>
              <w:t xml:space="preserve">4 February 2018.</w:t>
            </w:r>
          </w:p>
        </w:tc>
      </w:tr>
      <w:tr>
        <w:trPr>
          <w:cantSplit w:val="0"/>
          <w:trHeight w:val="495" w:hRule="atLeast"/>
          <w:tblHeader w:val="0"/>
        </w:trPr>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D">
            <w:pP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[5]</w:t>
            </w:r>
          </w:p>
        </w:tc>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E">
            <w:pPr>
              <w:spacing w:line="276"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G. Preminger and G. Curhan, “Patient education: Kidney stones in adults (Beyond the Basics),” </w:t>
            </w:r>
            <w:r w:rsidDel="00000000" w:rsidR="00000000" w:rsidRPr="00000000">
              <w:rPr>
                <w:rFonts w:ascii="Arial Narrow" w:cs="Arial Narrow" w:eastAsia="Arial Narrow" w:hAnsi="Arial Narrow"/>
                <w:rtl w:val="0"/>
              </w:rPr>
              <w:t xml:space="preserve">UpToDate, </w:t>
            </w:r>
            <w:r w:rsidDel="00000000" w:rsidR="00000000" w:rsidRPr="00000000">
              <w:rPr>
                <w:rFonts w:ascii="Arial Narrow" w:cs="Arial Narrow" w:eastAsia="Arial Narrow" w:hAnsi="Arial Narrow"/>
                <w:rtl w:val="0"/>
              </w:rPr>
              <w:t xml:space="preserve">October 2022.</w:t>
            </w:r>
          </w:p>
        </w:tc>
      </w:tr>
      <w:tr>
        <w:trPr>
          <w:cantSplit w:val="0"/>
          <w:trHeight w:val="495" w:hRule="atLeast"/>
          <w:tblHeader w:val="0"/>
        </w:trPr>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6F">
            <w:pP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[6]</w:t>
            </w:r>
          </w:p>
        </w:tc>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70">
            <w:pPr>
              <w:spacing w:line="276"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National Kidney Foundation, “Kidney Stones,” 2022. [Online]. Available: https://www.kidney.org/atoz/content/kidneystones. [Accessed 2022].</w:t>
            </w:r>
          </w:p>
        </w:tc>
      </w:tr>
      <w:tr>
        <w:trPr>
          <w:cantSplit w:val="0"/>
          <w:trHeight w:val="495" w:hRule="atLeast"/>
          <w:tblHeader w:val="0"/>
        </w:trPr>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71">
            <w:pP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w:t>
            </w:r>
          </w:p>
        </w:tc>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72">
            <w:pPr>
              <w:spacing w:line="276"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 O. Rashid and S. S. Fakhulddin, “Risk factors for fever and sepsis after percutaneous nephrolithotomy,” </w:t>
            </w:r>
            <w:r w:rsidDel="00000000" w:rsidR="00000000" w:rsidRPr="00000000">
              <w:rPr>
                <w:rFonts w:ascii="Arial Narrow" w:cs="Arial Narrow" w:eastAsia="Arial Narrow" w:hAnsi="Arial Narrow"/>
                <w:rtl w:val="0"/>
              </w:rPr>
              <w:t xml:space="preserve">National Library of Medicine, </w:t>
            </w:r>
            <w:r w:rsidDel="00000000" w:rsidR="00000000" w:rsidRPr="00000000">
              <w:rPr>
                <w:rFonts w:ascii="Arial Narrow" w:cs="Arial Narrow" w:eastAsia="Arial Narrow" w:hAnsi="Arial Narrow"/>
                <w:rtl w:val="0"/>
              </w:rPr>
              <w:t xml:space="preserve">11 March 2016.</w:t>
            </w:r>
          </w:p>
        </w:tc>
      </w:tr>
      <w:tr>
        <w:trPr>
          <w:cantSplit w:val="0"/>
          <w:trHeight w:val="495" w:hRule="atLeast"/>
          <w:tblHeader w:val="0"/>
        </w:trPr>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73">
            <w:pP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[8]</w:t>
            </w:r>
          </w:p>
        </w:tc>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74">
            <w:pPr>
              <w:spacing w:line="276"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B. Lojanapiwat, “Infective complication following percutaneous nephrolithotomy,” </w:t>
            </w:r>
            <w:r w:rsidDel="00000000" w:rsidR="00000000" w:rsidRPr="00000000">
              <w:rPr>
                <w:rFonts w:ascii="Arial Narrow" w:cs="Arial Narrow" w:eastAsia="Arial Narrow" w:hAnsi="Arial Narrow"/>
                <w:rtl w:val="0"/>
              </w:rPr>
              <w:t xml:space="preserve">Urological Science, </w:t>
            </w:r>
            <w:r w:rsidDel="00000000" w:rsidR="00000000" w:rsidRPr="00000000">
              <w:rPr>
                <w:rFonts w:ascii="Arial Narrow" w:cs="Arial Narrow" w:eastAsia="Arial Narrow" w:hAnsi="Arial Narrow"/>
                <w:rtl w:val="0"/>
              </w:rPr>
              <w:t xml:space="preserve">vol. 27, no. 1, pp. 8-12, March 2016.</w:t>
            </w:r>
          </w:p>
        </w:tc>
      </w:tr>
      <w:tr>
        <w:trPr>
          <w:cantSplit w:val="0"/>
          <w:trHeight w:val="495" w:hRule="atLeast"/>
          <w:tblHeader w:val="0"/>
        </w:trPr>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75">
            <w:pP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[9]</w:t>
            </w:r>
          </w:p>
        </w:tc>
        <w:tc>
          <w:tcPr>
            <w:tcBorders>
              <w:top w:color="ffffff" w:space="0" w:sz="6" w:val="single"/>
              <w:left w:color="ffffff" w:space="0" w:sz="6" w:val="single"/>
              <w:bottom w:color="ffffff" w:space="0" w:sz="6" w:val="single"/>
              <w:right w:color="ffffff" w:space="0" w:sz="6" w:val="single"/>
            </w:tcBorders>
            <w:tcMar>
              <w:top w:w="20.0" w:type="dxa"/>
              <w:left w:w="80.0" w:type="dxa"/>
              <w:bottom w:w="20.0" w:type="dxa"/>
              <w:right w:w="80.0" w:type="dxa"/>
            </w:tcMar>
            <w:vAlign w:val="top"/>
          </w:tcPr>
          <w:p w:rsidR="00000000" w:rsidDel="00000000" w:rsidP="00000000" w:rsidRDefault="00000000" w:rsidRPr="00000000" w14:paraId="00000076">
            <w:pPr>
              <w:spacing w:line="276"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E. S. Hyams and B. R. Matlaga, “Economic impact of urinary stones,” </w:t>
            </w:r>
            <w:r w:rsidDel="00000000" w:rsidR="00000000" w:rsidRPr="00000000">
              <w:rPr>
                <w:rFonts w:ascii="Arial Narrow" w:cs="Arial Narrow" w:eastAsia="Arial Narrow" w:hAnsi="Arial Narrow"/>
                <w:rtl w:val="0"/>
              </w:rPr>
              <w:t xml:space="preserve">Translational Andrology and Urology, </w:t>
            </w:r>
            <w:r w:rsidDel="00000000" w:rsidR="00000000" w:rsidRPr="00000000">
              <w:rPr>
                <w:rFonts w:ascii="Arial Narrow" w:cs="Arial Narrow" w:eastAsia="Arial Narrow" w:hAnsi="Arial Narrow"/>
                <w:rtl w:val="0"/>
              </w:rPr>
              <w:t xml:space="preserve">vol. 3, no. 3, September 2014.</w:t>
            </w:r>
          </w:p>
        </w:tc>
      </w:tr>
    </w:tbl>
    <w:p w:rsidR="00000000" w:rsidDel="00000000" w:rsidP="00000000" w:rsidRDefault="00000000" w:rsidRPr="00000000" w14:paraId="00000077">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ListParagraph">
    <w:name w:val="List Paragraph"/>
    <w:basedOn w:val="Normal"/>
    <w:uiPriority w:val="34"/>
    <w:qFormat w:val="1"/>
    <w:rsid w:val="00A97021"/>
    <w:pPr>
      <w:ind w:left="720"/>
      <w:contextualSpacing w:val="1"/>
    </w:pPr>
  </w:style>
  <w:style w:type="table" w:styleId="a" w:customStyle="1">
    <w:basedOn w:val="TableNormal"/>
    <w:tblPr>
      <w:tblStyleRowBandSize w:val="1"/>
      <w:tblStyleColBandSize w:val="1"/>
      <w:tblInd w:w="0.0" w:type="dxa"/>
      <w:tblCellMar>
        <w:top w:w="0.0" w:type="dxa"/>
        <w:left w:w="115.0" w:type="dxa"/>
        <w:bottom w:w="0.0" w:type="dxa"/>
        <w:right w:w="115.0" w:type="dxa"/>
      </w:tblCellMar>
    </w:tblPr>
  </w:style>
  <w:style w:type="table" w:styleId="a0" w:customStyle="1">
    <w:basedOn w:val="TableNormal"/>
    <w:tblPr>
      <w:tblStyleRowBandSize w:val="1"/>
      <w:tblStyleColBandSize w:val="1"/>
      <w:tblInd w:w="0.0" w:type="dxa"/>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TnLo2Vkkg3cLt/tcImHMzK7azA==">AMUW2mUuz05KkQ70XZJnIU/r7Wfoogm4e/MvLfhdVHgMRl/PkC9RS8RGoxqYz2NlSk+hBnZXtXmBz/Lo//RP+1KrhLSkdq4CCguioPIQcms4sMEpUpsi0dudvzX2ky3QgVQXj6E3VYHd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