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B182D" w14:textId="04E0CCC1" w:rsidR="00E85E59" w:rsidRPr="00E85E59" w:rsidRDefault="00E85E59" w:rsidP="00E85E59">
      <w:pPr>
        <w:spacing w:after="0" w:line="240" w:lineRule="auto"/>
        <w:rPr>
          <w:rFonts w:ascii="Times New Roman" w:eastAsia="Times New Roman" w:hAnsi="Times New Roman" w:cs="Times New Roman"/>
          <w:sz w:val="24"/>
          <w:szCs w:val="24"/>
          <w:lang w:eastAsia="en-AU"/>
        </w:rPr>
      </w:pPr>
      <w:r w:rsidRPr="00E85E59">
        <w:rPr>
          <w:rFonts w:ascii="Calibri" w:eastAsia="Times New Roman" w:hAnsi="Calibri" w:cs="Calibri"/>
          <w:noProof/>
          <w:color w:val="000000"/>
          <w:sz w:val="24"/>
          <w:szCs w:val="24"/>
          <w:bdr w:val="none" w:sz="0" w:space="0" w:color="auto" w:frame="1"/>
          <w:lang w:eastAsia="en-AU"/>
        </w:rPr>
        <w:drawing>
          <wp:inline distT="0" distB="0" distL="0" distR="0" wp14:anchorId="72BF896D" wp14:editId="1FD68CB5">
            <wp:extent cx="1391920" cy="586740"/>
            <wp:effectExtent l="0" t="0" r="0" b="3810"/>
            <wp:docPr id="3" name="Picture 3" descr="Text,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background pattern&#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1920" cy="586740"/>
                    </a:xfrm>
                    <a:prstGeom prst="rect">
                      <a:avLst/>
                    </a:prstGeom>
                    <a:noFill/>
                    <a:ln>
                      <a:noFill/>
                    </a:ln>
                  </pic:spPr>
                </pic:pic>
              </a:graphicData>
            </a:graphic>
          </wp:inline>
        </w:drawing>
      </w:r>
      <w:r w:rsidRPr="00E85E59">
        <w:rPr>
          <w:rFonts w:ascii="Calibri" w:eastAsia="Times New Roman" w:hAnsi="Calibri" w:cs="Calibri"/>
          <w:noProof/>
          <w:color w:val="000000"/>
          <w:sz w:val="24"/>
          <w:szCs w:val="24"/>
          <w:bdr w:val="none" w:sz="0" w:space="0" w:color="auto" w:frame="1"/>
          <w:lang w:eastAsia="en-AU"/>
        </w:rPr>
        <w:drawing>
          <wp:inline distT="0" distB="0" distL="0" distR="0" wp14:anchorId="39080EBD" wp14:editId="70D890B5">
            <wp:extent cx="1945005" cy="628015"/>
            <wp:effectExtent l="0" t="0" r="0" b="635"/>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5005" cy="628015"/>
                    </a:xfrm>
                    <a:prstGeom prst="rect">
                      <a:avLst/>
                    </a:prstGeom>
                    <a:noFill/>
                    <a:ln>
                      <a:noFill/>
                    </a:ln>
                  </pic:spPr>
                </pic:pic>
              </a:graphicData>
            </a:graphic>
          </wp:inline>
        </w:drawing>
      </w:r>
      <w:r w:rsidRPr="00E85E59">
        <w:rPr>
          <w:rFonts w:ascii="Calibri" w:eastAsia="Times New Roman" w:hAnsi="Calibri" w:cs="Calibri"/>
          <w:noProof/>
          <w:color w:val="000000"/>
          <w:sz w:val="24"/>
          <w:szCs w:val="24"/>
          <w:bdr w:val="none" w:sz="0" w:space="0" w:color="auto" w:frame="1"/>
          <w:lang w:eastAsia="en-AU"/>
        </w:rPr>
        <w:drawing>
          <wp:inline distT="0" distB="0" distL="0" distR="0" wp14:anchorId="052A311F" wp14:editId="6D678B19">
            <wp:extent cx="1992630" cy="586740"/>
            <wp:effectExtent l="0" t="0" r="7620" b="381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2630" cy="586740"/>
                    </a:xfrm>
                    <a:prstGeom prst="rect">
                      <a:avLst/>
                    </a:prstGeom>
                    <a:noFill/>
                    <a:ln>
                      <a:noFill/>
                    </a:ln>
                  </pic:spPr>
                </pic:pic>
              </a:graphicData>
            </a:graphic>
          </wp:inline>
        </w:drawing>
      </w:r>
    </w:p>
    <w:p w14:paraId="44CB4CBD" w14:textId="77777777" w:rsidR="00E85E59" w:rsidRPr="00E85E59" w:rsidRDefault="00E85E59" w:rsidP="00E85E59">
      <w:pPr>
        <w:spacing w:before="280" w:after="280" w:line="240" w:lineRule="auto"/>
        <w:rPr>
          <w:rFonts w:ascii="Times New Roman" w:eastAsia="Times New Roman" w:hAnsi="Times New Roman" w:cs="Times New Roman"/>
          <w:sz w:val="24"/>
          <w:szCs w:val="24"/>
          <w:lang w:eastAsia="en-AU"/>
        </w:rPr>
      </w:pPr>
      <w:r w:rsidRPr="00E85E59">
        <w:rPr>
          <w:rFonts w:ascii="Arial Narrow" w:eastAsia="Times New Roman" w:hAnsi="Arial Narrow" w:cs="Times New Roman"/>
          <w:b/>
          <w:bCs/>
          <w:color w:val="000000"/>
          <w:sz w:val="32"/>
          <w:szCs w:val="32"/>
          <w:lang w:eastAsia="en-AU"/>
        </w:rPr>
        <w:t>MONASH HEALTHCARE INNOVATION SUMMER SCHOLARSHIPS (HISS) </w:t>
      </w:r>
    </w:p>
    <w:p w14:paraId="464BD90F" w14:textId="1865C55A" w:rsidR="00E85E59" w:rsidRPr="00E85E59" w:rsidRDefault="00E85E59" w:rsidP="00E85E59">
      <w:pPr>
        <w:spacing w:before="280" w:after="280" w:line="240" w:lineRule="auto"/>
        <w:rPr>
          <w:rFonts w:ascii="Times New Roman" w:eastAsia="Times New Roman" w:hAnsi="Times New Roman" w:cs="Times New Roman"/>
          <w:sz w:val="24"/>
          <w:szCs w:val="24"/>
          <w:lang w:eastAsia="en-AU"/>
        </w:rPr>
      </w:pPr>
      <w:r w:rsidRPr="00E85E59">
        <w:rPr>
          <w:rFonts w:ascii="Arial Narrow" w:eastAsia="Times New Roman" w:hAnsi="Arial Narrow" w:cs="Times New Roman"/>
          <w:color w:val="006BAA"/>
          <w:sz w:val="28"/>
          <w:szCs w:val="28"/>
          <w:lang w:eastAsia="en-AU"/>
        </w:rPr>
        <w:t>PROJECT NAME: </w:t>
      </w:r>
      <w:r w:rsidR="009F3BF8">
        <w:rPr>
          <w:rFonts w:ascii="Arial Narrow" w:eastAsia="Times New Roman" w:hAnsi="Arial Narrow" w:cs="Times New Roman"/>
          <w:color w:val="006BAA"/>
          <w:sz w:val="28"/>
          <w:szCs w:val="28"/>
          <w:lang w:eastAsia="en-AU"/>
        </w:rPr>
        <w:t xml:space="preserve">Project </w:t>
      </w:r>
      <w:proofErr w:type="spellStart"/>
      <w:r w:rsidR="009F3BF8">
        <w:rPr>
          <w:rFonts w:ascii="Arial Narrow" w:eastAsia="Times New Roman" w:hAnsi="Arial Narrow" w:cs="Times New Roman"/>
          <w:color w:val="006BAA"/>
          <w:sz w:val="28"/>
          <w:szCs w:val="28"/>
          <w:lang w:eastAsia="en-AU"/>
        </w:rPr>
        <w:t>Activus</w:t>
      </w:r>
      <w:proofErr w:type="spellEnd"/>
    </w:p>
    <w:p w14:paraId="66D2EB97" w14:textId="77777777" w:rsidR="00E85E59" w:rsidRPr="00E85E59" w:rsidRDefault="00E85E59" w:rsidP="00E85E59">
      <w:pPr>
        <w:spacing w:before="280" w:after="280" w:line="240" w:lineRule="auto"/>
        <w:rPr>
          <w:rFonts w:ascii="Times New Roman" w:eastAsia="Times New Roman" w:hAnsi="Times New Roman" w:cs="Times New Roman"/>
          <w:sz w:val="24"/>
          <w:szCs w:val="24"/>
          <w:lang w:eastAsia="en-AU"/>
        </w:rPr>
      </w:pPr>
      <w:r w:rsidRPr="00E85E59">
        <w:rPr>
          <w:rFonts w:ascii="Arial Narrow" w:eastAsia="Times New Roman" w:hAnsi="Arial Narrow" w:cs="Times New Roman"/>
          <w:color w:val="006BAA"/>
          <w:sz w:val="28"/>
          <w:szCs w:val="28"/>
          <w:lang w:eastAsia="en-AU"/>
        </w:rPr>
        <w:t>DELIVERABLES NUMBER: 1 </w:t>
      </w:r>
    </w:p>
    <w:p w14:paraId="70C8EDC3" w14:textId="3A97CAEF" w:rsidR="00322AD7" w:rsidRPr="00322AD7" w:rsidRDefault="00E85E59" w:rsidP="00322AD7">
      <w:pPr>
        <w:spacing w:before="280" w:after="280" w:line="240" w:lineRule="auto"/>
        <w:rPr>
          <w:rFonts w:ascii="Arial Narrow" w:eastAsia="Times New Roman" w:hAnsi="Arial Narrow" w:cs="Times New Roman"/>
          <w:color w:val="006BAA"/>
          <w:sz w:val="28"/>
          <w:szCs w:val="28"/>
          <w:lang w:eastAsia="en-AU"/>
        </w:rPr>
      </w:pPr>
      <w:r w:rsidRPr="00E85E59">
        <w:rPr>
          <w:rFonts w:ascii="Arial Narrow" w:eastAsia="Times New Roman" w:hAnsi="Arial Narrow" w:cs="Times New Roman"/>
          <w:color w:val="006BAA"/>
          <w:sz w:val="28"/>
          <w:szCs w:val="28"/>
          <w:lang w:eastAsia="en-AU"/>
        </w:rPr>
        <w:t>PROJECT LEAD:  </w:t>
      </w:r>
      <w:r>
        <w:rPr>
          <w:rFonts w:ascii="Arial Narrow" w:eastAsia="Times New Roman" w:hAnsi="Arial Narrow" w:cs="Times New Roman"/>
          <w:color w:val="006BAA"/>
          <w:sz w:val="28"/>
          <w:szCs w:val="28"/>
          <w:lang w:eastAsia="en-AU"/>
        </w:rPr>
        <w:t>DAVID CHENG</w:t>
      </w:r>
    </w:p>
    <w:p w14:paraId="7E5E61D9" w14:textId="77777777" w:rsidR="00322AD7" w:rsidRPr="002E11B5" w:rsidRDefault="00322AD7" w:rsidP="00322AD7">
      <w:pPr>
        <w:pStyle w:val="ListParagraph"/>
        <w:numPr>
          <w:ilvl w:val="0"/>
          <w:numId w:val="5"/>
        </w:numPr>
        <w:rPr>
          <w:b/>
          <w:bCs/>
        </w:rPr>
      </w:pPr>
      <w:r w:rsidRPr="002E11B5">
        <w:rPr>
          <w:rFonts w:ascii="Times New Roman" w:eastAsia="Times New Roman" w:hAnsi="Times New Roman" w:cs="Times New Roman"/>
          <w:b/>
          <w:bCs/>
          <w:sz w:val="24"/>
          <w:szCs w:val="24"/>
          <w:lang w:eastAsia="en-AU"/>
        </w:rPr>
        <w:t>Mission statement</w:t>
      </w:r>
    </w:p>
    <w:p w14:paraId="42EA3DC9" w14:textId="67EAE013" w:rsidR="00B31801" w:rsidRDefault="00B31801" w:rsidP="00B31801">
      <w:pPr>
        <w:pStyle w:val="ListParagraph"/>
        <w:ind w:left="360"/>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Encourage long term personalised intradialytic and interdialytic exercise routines for patients undergoing haemodialysis.</w:t>
      </w:r>
    </w:p>
    <w:p w14:paraId="2E8517AE" w14:textId="77777777" w:rsidR="00B31801" w:rsidRPr="00322AD7" w:rsidRDefault="00B31801" w:rsidP="00322AD7">
      <w:pPr>
        <w:pStyle w:val="ListParagraph"/>
        <w:ind w:left="360"/>
      </w:pPr>
    </w:p>
    <w:p w14:paraId="300CCA0E" w14:textId="33DE305F" w:rsidR="00322AD7" w:rsidRPr="002E11B5" w:rsidRDefault="00322AD7" w:rsidP="00322AD7">
      <w:pPr>
        <w:pStyle w:val="ListParagraph"/>
        <w:numPr>
          <w:ilvl w:val="0"/>
          <w:numId w:val="5"/>
        </w:numPr>
        <w:rPr>
          <w:b/>
          <w:bCs/>
        </w:rPr>
      </w:pPr>
      <w:r w:rsidRPr="002E11B5">
        <w:rPr>
          <w:rFonts w:ascii="Times New Roman" w:eastAsia="Times New Roman" w:hAnsi="Times New Roman" w:cs="Times New Roman"/>
          <w:b/>
          <w:bCs/>
          <w:sz w:val="24"/>
          <w:szCs w:val="24"/>
          <w:lang w:eastAsia="en-AU"/>
        </w:rPr>
        <w:t>Acceptance Criteria</w:t>
      </w:r>
    </w:p>
    <w:p w14:paraId="6DF275F1" w14:textId="2DCAF59E" w:rsidR="00322AD7" w:rsidRPr="002E11B5" w:rsidRDefault="00322AD7" w:rsidP="00322AD7">
      <w:pPr>
        <w:pStyle w:val="ListParagraph"/>
        <w:numPr>
          <w:ilvl w:val="0"/>
          <w:numId w:val="6"/>
        </w:numPr>
      </w:pPr>
      <w:r>
        <w:rPr>
          <w:rFonts w:ascii="Times New Roman" w:eastAsia="Times New Roman" w:hAnsi="Times New Roman" w:cs="Times New Roman"/>
          <w:sz w:val="24"/>
          <w:szCs w:val="24"/>
          <w:lang w:eastAsia="en-AU"/>
        </w:rPr>
        <w:t>Be portable, easy to set up, and easy to use.</w:t>
      </w:r>
      <w:r w:rsidR="002E11B5">
        <w:rPr>
          <w:rFonts w:ascii="Times New Roman" w:eastAsia="Times New Roman" w:hAnsi="Times New Roman" w:cs="Times New Roman"/>
          <w:sz w:val="24"/>
          <w:szCs w:val="24"/>
          <w:lang w:eastAsia="en-AU"/>
        </w:rPr>
        <w:t xml:space="preserve"> </w:t>
      </w:r>
    </w:p>
    <w:p w14:paraId="5E3D7461" w14:textId="3C26B7E6" w:rsidR="002E11B5" w:rsidRPr="002E11B5" w:rsidRDefault="002E11B5" w:rsidP="002E11B5">
      <w:pPr>
        <w:pStyle w:val="ListParagraph"/>
        <w:numPr>
          <w:ilvl w:val="1"/>
          <w:numId w:val="6"/>
        </w:numPr>
      </w:pPr>
      <w:r>
        <w:rPr>
          <w:rFonts w:ascii="Times New Roman" w:eastAsia="Times New Roman" w:hAnsi="Times New Roman" w:cs="Times New Roman"/>
          <w:sz w:val="24"/>
          <w:szCs w:val="24"/>
          <w:lang w:eastAsia="en-AU"/>
        </w:rPr>
        <w:t>Must be under a certain weight limit.</w:t>
      </w:r>
    </w:p>
    <w:p w14:paraId="7A76DA7F" w14:textId="3FD2C2B9" w:rsidR="002E11B5" w:rsidRPr="002E11B5" w:rsidRDefault="00B6759F" w:rsidP="002E11B5">
      <w:pPr>
        <w:pStyle w:val="ListParagraph"/>
        <w:numPr>
          <w:ilvl w:val="1"/>
          <w:numId w:val="6"/>
        </w:numPr>
      </w:pPr>
      <w:r>
        <w:rPr>
          <w:rFonts w:ascii="Times New Roman" w:eastAsia="Times New Roman" w:hAnsi="Times New Roman" w:cs="Times New Roman"/>
          <w:sz w:val="24"/>
          <w:szCs w:val="24"/>
          <w:lang w:eastAsia="en-AU"/>
        </w:rPr>
        <w:t>R</w:t>
      </w:r>
      <w:r w:rsidR="002E11B5">
        <w:rPr>
          <w:rFonts w:ascii="Times New Roman" w:eastAsia="Times New Roman" w:hAnsi="Times New Roman" w:cs="Times New Roman"/>
          <w:sz w:val="24"/>
          <w:szCs w:val="24"/>
          <w:lang w:eastAsia="en-AU"/>
        </w:rPr>
        <w:t>equires minimal training to use.</w:t>
      </w:r>
    </w:p>
    <w:p w14:paraId="5A546A8B" w14:textId="7E7CD198" w:rsidR="002E11B5" w:rsidRPr="00322AD7" w:rsidRDefault="002E11B5" w:rsidP="002E11B5">
      <w:pPr>
        <w:pStyle w:val="ListParagraph"/>
        <w:numPr>
          <w:ilvl w:val="1"/>
          <w:numId w:val="6"/>
        </w:numPr>
      </w:pPr>
      <w:r>
        <w:rPr>
          <w:rFonts w:ascii="Times New Roman" w:eastAsia="Times New Roman" w:hAnsi="Times New Roman" w:cs="Times New Roman"/>
          <w:sz w:val="24"/>
          <w:szCs w:val="24"/>
          <w:lang w:eastAsia="en-AU"/>
        </w:rPr>
        <w:t xml:space="preserve">Must be comfortable for end users during the operation of the machine. </w:t>
      </w:r>
    </w:p>
    <w:p w14:paraId="063058AE" w14:textId="757AB4C6" w:rsidR="00322AD7" w:rsidRPr="002E11B5" w:rsidRDefault="00322AD7" w:rsidP="00322AD7">
      <w:pPr>
        <w:pStyle w:val="ListParagraph"/>
        <w:numPr>
          <w:ilvl w:val="0"/>
          <w:numId w:val="6"/>
        </w:numPr>
      </w:pPr>
      <w:r>
        <w:rPr>
          <w:rFonts w:ascii="Times New Roman" w:eastAsia="Times New Roman" w:hAnsi="Times New Roman" w:cs="Times New Roman"/>
          <w:sz w:val="24"/>
          <w:szCs w:val="24"/>
          <w:lang w:eastAsia="en-AU"/>
        </w:rPr>
        <w:t>Provide personalised experiences such as feedback and support to patients.</w:t>
      </w:r>
    </w:p>
    <w:p w14:paraId="4748734E" w14:textId="0B8B186B" w:rsidR="002E11B5" w:rsidRPr="002E11B5" w:rsidRDefault="002E11B5" w:rsidP="002E11B5">
      <w:pPr>
        <w:pStyle w:val="ListParagraph"/>
        <w:numPr>
          <w:ilvl w:val="1"/>
          <w:numId w:val="6"/>
        </w:numPr>
      </w:pPr>
      <w:r>
        <w:rPr>
          <w:rFonts w:ascii="Times New Roman" w:eastAsia="Times New Roman" w:hAnsi="Times New Roman" w:cs="Times New Roman"/>
          <w:sz w:val="24"/>
          <w:szCs w:val="24"/>
          <w:lang w:eastAsia="en-AU"/>
        </w:rPr>
        <w:t xml:space="preserve">Track the progress of patients’ exercise. </w:t>
      </w:r>
    </w:p>
    <w:p w14:paraId="723484C1" w14:textId="018F02BB" w:rsidR="002E11B5" w:rsidRPr="002E11B5" w:rsidRDefault="002E11B5" w:rsidP="002E11B5">
      <w:pPr>
        <w:pStyle w:val="ListParagraph"/>
        <w:numPr>
          <w:ilvl w:val="1"/>
          <w:numId w:val="6"/>
        </w:numPr>
      </w:pPr>
      <w:r>
        <w:rPr>
          <w:rFonts w:ascii="Times New Roman" w:eastAsia="Times New Roman" w:hAnsi="Times New Roman" w:cs="Times New Roman"/>
          <w:sz w:val="24"/>
          <w:szCs w:val="24"/>
          <w:lang w:eastAsia="en-AU"/>
        </w:rPr>
        <w:t>Offer useful feedback during the operation of the machine.</w:t>
      </w:r>
    </w:p>
    <w:p w14:paraId="66687A73" w14:textId="7B9D199C" w:rsidR="002E11B5" w:rsidRPr="00322AD7" w:rsidRDefault="002E11B5" w:rsidP="002E11B5">
      <w:pPr>
        <w:pStyle w:val="ListParagraph"/>
        <w:numPr>
          <w:ilvl w:val="1"/>
          <w:numId w:val="6"/>
        </w:numPr>
      </w:pPr>
      <w:r>
        <w:rPr>
          <w:rFonts w:ascii="Times New Roman" w:eastAsia="Times New Roman" w:hAnsi="Times New Roman" w:cs="Times New Roman"/>
          <w:sz w:val="24"/>
          <w:szCs w:val="24"/>
          <w:lang w:eastAsia="en-AU"/>
        </w:rPr>
        <w:t>Provide supportive messages and encouragement.</w:t>
      </w:r>
    </w:p>
    <w:p w14:paraId="70F32B29" w14:textId="31362471" w:rsidR="00322AD7" w:rsidRPr="00322AD7" w:rsidRDefault="00322AD7" w:rsidP="00322AD7">
      <w:pPr>
        <w:pStyle w:val="ListParagraph"/>
        <w:numPr>
          <w:ilvl w:val="0"/>
          <w:numId w:val="6"/>
        </w:numPr>
      </w:pPr>
      <w:r>
        <w:rPr>
          <w:rFonts w:ascii="Times New Roman" w:eastAsia="Times New Roman" w:hAnsi="Times New Roman" w:cs="Times New Roman"/>
          <w:sz w:val="24"/>
          <w:szCs w:val="24"/>
          <w:lang w:eastAsia="en-AU"/>
        </w:rPr>
        <w:t>Offer both upper and lower limb exercise</w:t>
      </w:r>
      <w:r w:rsidR="00A330D3">
        <w:rPr>
          <w:rFonts w:ascii="Times New Roman" w:eastAsia="Times New Roman" w:hAnsi="Times New Roman" w:cs="Times New Roman"/>
          <w:sz w:val="24"/>
          <w:szCs w:val="24"/>
          <w:lang w:eastAsia="en-AU"/>
        </w:rPr>
        <w:t>s</w:t>
      </w:r>
    </w:p>
    <w:p w14:paraId="1698B00D" w14:textId="411A99E2" w:rsidR="00322AD7" w:rsidRPr="00CC0288" w:rsidRDefault="00322AD7" w:rsidP="00322AD7">
      <w:pPr>
        <w:pStyle w:val="ListParagraph"/>
        <w:numPr>
          <w:ilvl w:val="0"/>
          <w:numId w:val="6"/>
        </w:numPr>
      </w:pPr>
      <w:r>
        <w:rPr>
          <w:rFonts w:ascii="Times New Roman" w:eastAsia="Times New Roman" w:hAnsi="Times New Roman" w:cs="Times New Roman"/>
          <w:sz w:val="24"/>
          <w:szCs w:val="24"/>
          <w:lang w:eastAsia="en-AU"/>
        </w:rPr>
        <w:t>Include features to improve intra/inter dialytic exercise adherence in patients.</w:t>
      </w:r>
    </w:p>
    <w:p w14:paraId="348E5CFB" w14:textId="643AC751" w:rsidR="00CC0288" w:rsidRPr="00CC0288" w:rsidRDefault="00CC0288" w:rsidP="00CC0288">
      <w:pPr>
        <w:pStyle w:val="ListParagraph"/>
        <w:numPr>
          <w:ilvl w:val="1"/>
          <w:numId w:val="6"/>
        </w:numPr>
      </w:pPr>
      <w:r>
        <w:rPr>
          <w:rFonts w:ascii="Times New Roman" w:eastAsia="Times New Roman" w:hAnsi="Times New Roman" w:cs="Times New Roman"/>
          <w:sz w:val="24"/>
          <w:szCs w:val="24"/>
          <w:lang w:eastAsia="en-AU"/>
        </w:rPr>
        <w:t>Must include adherence logging</w:t>
      </w:r>
    </w:p>
    <w:p w14:paraId="3DFD639D" w14:textId="0C0BFE83" w:rsidR="00CC0288" w:rsidRPr="00322AD7" w:rsidRDefault="00CC0288" w:rsidP="00CC0288">
      <w:pPr>
        <w:pStyle w:val="ListParagraph"/>
        <w:numPr>
          <w:ilvl w:val="1"/>
          <w:numId w:val="6"/>
        </w:numPr>
      </w:pPr>
      <w:r>
        <w:rPr>
          <w:rFonts w:ascii="Times New Roman" w:eastAsia="Times New Roman" w:hAnsi="Times New Roman" w:cs="Times New Roman"/>
          <w:sz w:val="24"/>
          <w:szCs w:val="24"/>
          <w:lang w:eastAsia="en-AU"/>
        </w:rPr>
        <w:t>Include the integration of some type of evidence-based solution that promotes adherence</w:t>
      </w:r>
    </w:p>
    <w:p w14:paraId="2D83C9B3" w14:textId="27E5A3B3" w:rsidR="00CC0288" w:rsidRPr="00CC0288" w:rsidRDefault="00322AD7" w:rsidP="00CC0288">
      <w:pPr>
        <w:pStyle w:val="ListParagraph"/>
        <w:numPr>
          <w:ilvl w:val="0"/>
          <w:numId w:val="6"/>
        </w:numPr>
      </w:pPr>
      <w:r>
        <w:rPr>
          <w:rFonts w:ascii="Times New Roman" w:eastAsia="Times New Roman" w:hAnsi="Times New Roman" w:cs="Times New Roman"/>
          <w:sz w:val="24"/>
          <w:szCs w:val="24"/>
          <w:lang w:eastAsia="en-AU"/>
        </w:rPr>
        <w:t xml:space="preserve">Be </w:t>
      </w:r>
      <w:r w:rsidR="00A330D3">
        <w:rPr>
          <w:rFonts w:ascii="Times New Roman" w:eastAsia="Times New Roman" w:hAnsi="Times New Roman" w:cs="Times New Roman"/>
          <w:sz w:val="24"/>
          <w:szCs w:val="24"/>
          <w:lang w:eastAsia="en-AU"/>
        </w:rPr>
        <w:t>appropriate for</w:t>
      </w:r>
      <w:r>
        <w:rPr>
          <w:rFonts w:ascii="Times New Roman" w:eastAsia="Times New Roman" w:hAnsi="Times New Roman" w:cs="Times New Roman"/>
          <w:sz w:val="24"/>
          <w:szCs w:val="24"/>
          <w:lang w:eastAsia="en-AU"/>
        </w:rPr>
        <w:t xml:space="preserve"> </w:t>
      </w:r>
      <w:r w:rsidR="00CC0288">
        <w:rPr>
          <w:rFonts w:ascii="Times New Roman" w:eastAsia="Times New Roman" w:hAnsi="Times New Roman" w:cs="Times New Roman"/>
          <w:sz w:val="24"/>
          <w:szCs w:val="24"/>
          <w:lang w:eastAsia="en-AU"/>
        </w:rPr>
        <w:t>most</w:t>
      </w:r>
      <w:r>
        <w:rPr>
          <w:rFonts w:ascii="Times New Roman" w:eastAsia="Times New Roman" w:hAnsi="Times New Roman" w:cs="Times New Roman"/>
          <w:sz w:val="24"/>
          <w:szCs w:val="24"/>
          <w:lang w:eastAsia="en-AU"/>
        </w:rPr>
        <w:t xml:space="preserve"> dialytic settings, including hospitals, clinics, and homes. </w:t>
      </w:r>
    </w:p>
    <w:p w14:paraId="739CE828" w14:textId="4A5E5FE9" w:rsidR="00B6759F" w:rsidRPr="008469EE" w:rsidRDefault="00CC0288" w:rsidP="00B6759F">
      <w:pPr>
        <w:pStyle w:val="ListParagraph"/>
        <w:numPr>
          <w:ilvl w:val="1"/>
          <w:numId w:val="6"/>
        </w:numPr>
      </w:pPr>
      <w:r>
        <w:rPr>
          <w:rFonts w:ascii="Times New Roman" w:eastAsia="Times New Roman" w:hAnsi="Times New Roman" w:cs="Times New Roman"/>
          <w:sz w:val="24"/>
          <w:szCs w:val="24"/>
          <w:lang w:eastAsia="en-AU"/>
        </w:rPr>
        <w:t>Must be reasonably priced</w:t>
      </w:r>
      <w:r w:rsidR="00B6759F">
        <w:rPr>
          <w:rFonts w:ascii="Times New Roman" w:eastAsia="Times New Roman" w:hAnsi="Times New Roman" w:cs="Times New Roman"/>
          <w:sz w:val="24"/>
          <w:szCs w:val="24"/>
          <w:lang w:eastAsia="en-AU"/>
        </w:rPr>
        <w:t>.</w:t>
      </w:r>
    </w:p>
    <w:p w14:paraId="2D81EFA3" w14:textId="4F608B84" w:rsidR="00B6759F" w:rsidRPr="00322AD7" w:rsidRDefault="008469EE" w:rsidP="008469EE">
      <w:pPr>
        <w:pStyle w:val="ListParagraph"/>
        <w:numPr>
          <w:ilvl w:val="1"/>
          <w:numId w:val="6"/>
        </w:numPr>
      </w:pPr>
      <w:r>
        <w:rPr>
          <w:rFonts w:ascii="Times New Roman" w:eastAsia="Times New Roman" w:hAnsi="Times New Roman" w:cs="Times New Roman"/>
          <w:sz w:val="24"/>
          <w:szCs w:val="24"/>
          <w:lang w:eastAsia="en-AU"/>
        </w:rPr>
        <w:t>Must not interfere with existing hospital equipment</w:t>
      </w:r>
      <w:r w:rsidR="00B6759F" w:rsidRPr="008469EE">
        <w:rPr>
          <w:rFonts w:ascii="Times New Roman" w:eastAsia="Times New Roman" w:hAnsi="Times New Roman" w:cs="Times New Roman"/>
          <w:sz w:val="24"/>
          <w:szCs w:val="24"/>
          <w:lang w:eastAsia="en-AU"/>
        </w:rPr>
        <w:t xml:space="preserve"> </w:t>
      </w:r>
    </w:p>
    <w:p w14:paraId="4BBA6FC3" w14:textId="77777777" w:rsidR="008469EE" w:rsidRPr="008469EE" w:rsidRDefault="00322AD7" w:rsidP="008469EE">
      <w:pPr>
        <w:pStyle w:val="ListParagraph"/>
        <w:numPr>
          <w:ilvl w:val="0"/>
          <w:numId w:val="5"/>
        </w:numPr>
        <w:rPr>
          <w:b/>
          <w:bCs/>
        </w:rPr>
      </w:pPr>
      <w:r w:rsidRPr="002E11B5">
        <w:rPr>
          <w:rFonts w:ascii="Times New Roman" w:eastAsia="Times New Roman" w:hAnsi="Times New Roman" w:cs="Times New Roman"/>
          <w:b/>
          <w:bCs/>
          <w:sz w:val="24"/>
          <w:szCs w:val="24"/>
          <w:lang w:eastAsia="en-AU"/>
        </w:rPr>
        <w:t>Needs Statement</w:t>
      </w:r>
    </w:p>
    <w:p w14:paraId="7385C1B3" w14:textId="403D4AAC" w:rsidR="00FE1EA6" w:rsidRDefault="00FE1EA6" w:rsidP="008469EE">
      <w:pPr>
        <w:pStyle w:val="ListParagraph"/>
        <w:ind w:left="360"/>
        <w:rPr>
          <w:rFonts w:ascii="Times New Roman" w:eastAsia="Times New Roman" w:hAnsi="Times New Roman" w:cs="Times New Roman"/>
          <w:sz w:val="24"/>
          <w:szCs w:val="24"/>
          <w:lang w:eastAsia="en-AU"/>
        </w:rPr>
      </w:pPr>
      <w:r w:rsidRPr="008469EE">
        <w:rPr>
          <w:rFonts w:ascii="Times New Roman" w:eastAsia="Times New Roman" w:hAnsi="Times New Roman" w:cs="Times New Roman"/>
          <w:sz w:val="24"/>
          <w:szCs w:val="24"/>
          <w:lang w:eastAsia="en-AU"/>
        </w:rPr>
        <w:t xml:space="preserve">A way to address sarcopenia and frailty for chronic haemodialytic patients </w:t>
      </w:r>
      <w:r w:rsidR="00C2318D">
        <w:rPr>
          <w:rFonts w:ascii="Times New Roman" w:eastAsia="Times New Roman" w:hAnsi="Times New Roman" w:cs="Times New Roman"/>
          <w:sz w:val="24"/>
          <w:szCs w:val="24"/>
          <w:lang w:eastAsia="en-AU"/>
        </w:rPr>
        <w:t xml:space="preserve">through exercise </w:t>
      </w:r>
      <w:r w:rsidR="008469EE" w:rsidRPr="008469EE">
        <w:rPr>
          <w:rFonts w:ascii="Times New Roman" w:eastAsia="Times New Roman" w:hAnsi="Times New Roman" w:cs="Times New Roman"/>
          <w:sz w:val="24"/>
          <w:szCs w:val="24"/>
          <w:lang w:eastAsia="en-AU"/>
        </w:rPr>
        <w:t xml:space="preserve">so that mortality is decreased, and that independence can be regained. </w:t>
      </w:r>
    </w:p>
    <w:p w14:paraId="1D93772A" w14:textId="77777777" w:rsidR="006D26BA" w:rsidRDefault="006D26BA" w:rsidP="006D26BA">
      <w:pPr>
        <w:pStyle w:val="ListParagraph"/>
        <w:ind w:left="360"/>
        <w:rPr>
          <w:rFonts w:ascii="Times New Roman" w:eastAsia="Times New Roman" w:hAnsi="Times New Roman" w:cs="Times New Roman"/>
          <w:sz w:val="24"/>
          <w:szCs w:val="24"/>
          <w:lang w:eastAsia="en-AU"/>
        </w:rPr>
      </w:pPr>
    </w:p>
    <w:p w14:paraId="2F806B5D" w14:textId="6EC4A809" w:rsidR="006D26BA" w:rsidRPr="009F3BF8" w:rsidRDefault="006D26BA" w:rsidP="009F3BF8">
      <w:pPr>
        <w:pStyle w:val="ListParagraph"/>
        <w:ind w:left="360"/>
        <w:rPr>
          <w:rFonts w:ascii="Times New Roman" w:eastAsia="Times New Roman" w:hAnsi="Times New Roman" w:cs="Times New Roman"/>
          <w:sz w:val="24"/>
          <w:szCs w:val="24"/>
          <w:lang w:eastAsia="en-AU"/>
        </w:rPr>
      </w:pPr>
      <w:r w:rsidRPr="009F3BF8">
        <w:rPr>
          <w:rFonts w:ascii="Times New Roman" w:eastAsia="Times New Roman" w:hAnsi="Times New Roman" w:cs="Times New Roman"/>
          <w:b/>
          <w:bCs/>
          <w:sz w:val="24"/>
          <w:szCs w:val="24"/>
          <w:lang w:eastAsia="en-AU"/>
        </w:rPr>
        <w:t>Problem:</w:t>
      </w:r>
      <w:r>
        <w:rPr>
          <w:rFonts w:ascii="Times New Roman" w:eastAsia="Times New Roman" w:hAnsi="Times New Roman" w:cs="Times New Roman"/>
          <w:sz w:val="24"/>
          <w:szCs w:val="24"/>
          <w:lang w:eastAsia="en-AU"/>
        </w:rPr>
        <w:t xml:space="preserve"> </w:t>
      </w:r>
      <w:r w:rsidRPr="009F3BF8">
        <w:rPr>
          <w:rFonts w:ascii="Times New Roman" w:eastAsia="Times New Roman" w:hAnsi="Times New Roman" w:cs="Times New Roman"/>
          <w:sz w:val="24"/>
          <w:szCs w:val="24"/>
          <w:lang w:eastAsia="en-AU"/>
        </w:rPr>
        <w:t xml:space="preserve">Individuals undergoing </w:t>
      </w:r>
      <w:r w:rsidR="009F3BF8" w:rsidRPr="009F3BF8">
        <w:rPr>
          <w:rFonts w:ascii="Times New Roman" w:eastAsia="Times New Roman" w:hAnsi="Times New Roman" w:cs="Times New Roman"/>
          <w:sz w:val="24"/>
          <w:szCs w:val="24"/>
          <w:lang w:eastAsia="en-AU"/>
        </w:rPr>
        <w:t xml:space="preserve">haemodialysis often spend long recurring bouts of time being inactive due to the stationary nature of haemodialysis. This may lead to an increasingly sedentary lifestyle, which can contribute to the development of sarcopenia and frailty. </w:t>
      </w:r>
    </w:p>
    <w:p w14:paraId="1C2970B6" w14:textId="5F576095" w:rsidR="006D26BA" w:rsidRDefault="006D26BA" w:rsidP="006D26BA">
      <w:pPr>
        <w:pStyle w:val="ListParagraph"/>
        <w:ind w:left="360"/>
        <w:rPr>
          <w:rFonts w:ascii="Times New Roman" w:eastAsia="Times New Roman" w:hAnsi="Times New Roman" w:cs="Times New Roman"/>
          <w:sz w:val="24"/>
          <w:szCs w:val="24"/>
          <w:lang w:eastAsia="en-AU"/>
        </w:rPr>
      </w:pPr>
      <w:r w:rsidRPr="009F3BF8">
        <w:rPr>
          <w:rFonts w:ascii="Times New Roman" w:eastAsia="Times New Roman" w:hAnsi="Times New Roman" w:cs="Times New Roman"/>
          <w:b/>
          <w:bCs/>
          <w:sz w:val="24"/>
          <w:szCs w:val="24"/>
          <w:lang w:eastAsia="en-AU"/>
        </w:rPr>
        <w:t>Population:</w:t>
      </w:r>
      <w:r w:rsidR="009F3BF8">
        <w:rPr>
          <w:rFonts w:ascii="Times New Roman" w:eastAsia="Times New Roman" w:hAnsi="Times New Roman" w:cs="Times New Roman"/>
          <w:sz w:val="24"/>
          <w:szCs w:val="24"/>
          <w:lang w:eastAsia="en-AU"/>
        </w:rPr>
        <w:t xml:space="preserve"> Individuals who are required to undergo haemodialysis that may spend extended bouts of time being inactive.  </w:t>
      </w:r>
    </w:p>
    <w:p w14:paraId="6D43F806" w14:textId="15EE9B6E" w:rsidR="006D26BA" w:rsidRPr="006D26BA" w:rsidRDefault="006D26BA" w:rsidP="006D26BA">
      <w:pPr>
        <w:pStyle w:val="ListParagraph"/>
        <w:ind w:left="360"/>
        <w:rPr>
          <w:rFonts w:ascii="Times New Roman" w:eastAsia="Times New Roman" w:hAnsi="Times New Roman" w:cs="Times New Roman"/>
          <w:sz w:val="24"/>
          <w:szCs w:val="24"/>
          <w:lang w:eastAsia="en-AU"/>
        </w:rPr>
      </w:pPr>
      <w:r w:rsidRPr="009F3BF8">
        <w:rPr>
          <w:rFonts w:ascii="Times New Roman" w:eastAsia="Times New Roman" w:hAnsi="Times New Roman" w:cs="Times New Roman"/>
          <w:b/>
          <w:bCs/>
          <w:sz w:val="24"/>
          <w:szCs w:val="24"/>
          <w:lang w:eastAsia="en-AU"/>
        </w:rPr>
        <w:t>Outcome:</w:t>
      </w:r>
      <w:r w:rsidR="009F3BF8">
        <w:rPr>
          <w:rFonts w:ascii="Times New Roman" w:eastAsia="Times New Roman" w:hAnsi="Times New Roman" w:cs="Times New Roman"/>
          <w:sz w:val="24"/>
          <w:szCs w:val="24"/>
          <w:lang w:eastAsia="en-AU"/>
        </w:rPr>
        <w:t xml:space="preserve"> To slow the development of sarcopenia or frailty.</w:t>
      </w:r>
    </w:p>
    <w:p w14:paraId="63B41AC2" w14:textId="4789C4E2" w:rsidR="00314A46" w:rsidRPr="0051319F" w:rsidRDefault="00314A46" w:rsidP="00314A46">
      <w:pPr>
        <w:rPr>
          <w:b/>
          <w:bCs/>
        </w:rPr>
      </w:pPr>
      <w:r>
        <w:rPr>
          <w:rFonts w:ascii="Times New Roman" w:eastAsia="Times New Roman" w:hAnsi="Times New Roman" w:cs="Times New Roman"/>
          <w:b/>
          <w:bCs/>
          <w:sz w:val="24"/>
          <w:szCs w:val="24"/>
          <w:lang w:eastAsia="en-AU"/>
        </w:rPr>
        <w:lastRenderedPageBreak/>
        <w:t xml:space="preserve">1.4 </w:t>
      </w:r>
      <w:r w:rsidRPr="0051319F">
        <w:rPr>
          <w:rFonts w:ascii="Times New Roman" w:eastAsia="Times New Roman" w:hAnsi="Times New Roman" w:cs="Times New Roman"/>
          <w:b/>
          <w:bCs/>
          <w:sz w:val="24"/>
          <w:szCs w:val="24"/>
          <w:lang w:eastAsia="en-AU"/>
        </w:rPr>
        <w:t>Disease state fundamentals</w:t>
      </w:r>
    </w:p>
    <w:p w14:paraId="0F737D30" w14:textId="77777777" w:rsidR="00314A46" w:rsidRDefault="00314A46" w:rsidP="00314A46">
      <w:pPr>
        <w:rPr>
          <w:b/>
          <w:bCs/>
        </w:rPr>
      </w:pPr>
      <w:r>
        <w:rPr>
          <w:b/>
          <w:bCs/>
        </w:rPr>
        <w:t>Epidemiology</w:t>
      </w:r>
    </w:p>
    <w:p w14:paraId="5C9665D0" w14:textId="77777777" w:rsidR="00314A46" w:rsidRDefault="00314A46" w:rsidP="00314A46">
      <w:r>
        <w:t xml:space="preserve">The prevalence of sarcopenia and frailty are higher in those on dialysis or with </w:t>
      </w:r>
      <w:r w:rsidRPr="00244D75">
        <w:rPr>
          <w:b/>
          <w:bCs/>
        </w:rPr>
        <w:t>chronic kidney disease (CKD)</w:t>
      </w:r>
      <w:r>
        <w:t xml:space="preserve"> compared to the general population. Sarcopenia is typically twice as common as frailty, and the prevalence increases with age. </w:t>
      </w:r>
    </w:p>
    <w:tbl>
      <w:tblPr>
        <w:tblStyle w:val="TableGrid"/>
        <w:tblW w:w="0" w:type="auto"/>
        <w:tblLook w:val="04A0" w:firstRow="1" w:lastRow="0" w:firstColumn="1" w:lastColumn="0" w:noHBand="0" w:noVBand="1"/>
      </w:tblPr>
      <w:tblGrid>
        <w:gridCol w:w="2405"/>
        <w:gridCol w:w="3119"/>
        <w:gridCol w:w="3492"/>
      </w:tblGrid>
      <w:tr w:rsidR="00314A46" w14:paraId="150F6F73" w14:textId="77777777" w:rsidTr="00887872">
        <w:tc>
          <w:tcPr>
            <w:tcW w:w="2405" w:type="dxa"/>
          </w:tcPr>
          <w:p w14:paraId="10CCD26E" w14:textId="77777777" w:rsidR="00314A46" w:rsidRDefault="00314A46" w:rsidP="00887872"/>
        </w:tc>
        <w:tc>
          <w:tcPr>
            <w:tcW w:w="3119" w:type="dxa"/>
          </w:tcPr>
          <w:p w14:paraId="1CB16EB9" w14:textId="77777777" w:rsidR="00314A46" w:rsidRPr="008F2FC2" w:rsidRDefault="00314A46" w:rsidP="00887872">
            <w:pPr>
              <w:rPr>
                <w:b/>
                <w:bCs/>
              </w:rPr>
            </w:pPr>
            <w:r w:rsidRPr="008F2FC2">
              <w:rPr>
                <w:b/>
                <w:bCs/>
              </w:rPr>
              <w:t>General population</w:t>
            </w:r>
          </w:p>
        </w:tc>
        <w:tc>
          <w:tcPr>
            <w:tcW w:w="3492" w:type="dxa"/>
          </w:tcPr>
          <w:p w14:paraId="5DF181DA" w14:textId="77777777" w:rsidR="00314A46" w:rsidRPr="008F2FC2" w:rsidRDefault="00314A46" w:rsidP="00887872">
            <w:pPr>
              <w:rPr>
                <w:b/>
                <w:bCs/>
              </w:rPr>
            </w:pPr>
            <w:r w:rsidRPr="008F2FC2">
              <w:rPr>
                <w:b/>
                <w:bCs/>
              </w:rPr>
              <w:t>Patients with CKD or on dialysis</w:t>
            </w:r>
          </w:p>
        </w:tc>
      </w:tr>
      <w:tr w:rsidR="00314A46" w14:paraId="33371B97" w14:textId="77777777" w:rsidTr="00887872">
        <w:tc>
          <w:tcPr>
            <w:tcW w:w="2405" w:type="dxa"/>
          </w:tcPr>
          <w:p w14:paraId="0C334DCC" w14:textId="77777777" w:rsidR="00314A46" w:rsidRPr="008F2FC2" w:rsidRDefault="00314A46" w:rsidP="00887872">
            <w:pPr>
              <w:rPr>
                <w:b/>
                <w:bCs/>
              </w:rPr>
            </w:pPr>
            <w:r w:rsidRPr="008F2FC2">
              <w:rPr>
                <w:b/>
                <w:bCs/>
              </w:rPr>
              <w:t>Sarcopenia prevalence</w:t>
            </w:r>
          </w:p>
        </w:tc>
        <w:tc>
          <w:tcPr>
            <w:tcW w:w="3119" w:type="dxa"/>
          </w:tcPr>
          <w:p w14:paraId="273C355F" w14:textId="77777777" w:rsidR="00314A46" w:rsidRDefault="00314A46" w:rsidP="00887872">
            <w:r>
              <w:t>5-13% (60 -70 years old)</w:t>
            </w:r>
          </w:p>
          <w:p w14:paraId="4BD84212" w14:textId="77777777" w:rsidR="00314A46" w:rsidRDefault="00314A46" w:rsidP="00887872">
            <w:r>
              <w:t>11-50% (80+ years old)</w:t>
            </w:r>
          </w:p>
        </w:tc>
        <w:tc>
          <w:tcPr>
            <w:tcW w:w="3492" w:type="dxa"/>
          </w:tcPr>
          <w:p w14:paraId="426B8E19" w14:textId="77777777" w:rsidR="00314A46" w:rsidRDefault="00314A46" w:rsidP="00887872">
            <w:r>
              <w:t>39-98.5% (CKD)</w:t>
            </w:r>
          </w:p>
        </w:tc>
      </w:tr>
      <w:tr w:rsidR="00314A46" w14:paraId="274047A1" w14:textId="77777777" w:rsidTr="00887872">
        <w:tc>
          <w:tcPr>
            <w:tcW w:w="2405" w:type="dxa"/>
          </w:tcPr>
          <w:p w14:paraId="642A46C5" w14:textId="77777777" w:rsidR="00314A46" w:rsidRPr="008F2FC2" w:rsidRDefault="00314A46" w:rsidP="00887872">
            <w:pPr>
              <w:rPr>
                <w:b/>
                <w:bCs/>
              </w:rPr>
            </w:pPr>
            <w:r w:rsidRPr="008F2FC2">
              <w:rPr>
                <w:b/>
                <w:bCs/>
              </w:rPr>
              <w:t>Frailty prevalence</w:t>
            </w:r>
          </w:p>
        </w:tc>
        <w:tc>
          <w:tcPr>
            <w:tcW w:w="3119" w:type="dxa"/>
          </w:tcPr>
          <w:p w14:paraId="44E9E861" w14:textId="77777777" w:rsidR="00314A46" w:rsidRDefault="00314A46" w:rsidP="00887872">
            <w:r>
              <w:t>3-6%</w:t>
            </w:r>
          </w:p>
        </w:tc>
        <w:tc>
          <w:tcPr>
            <w:tcW w:w="3492" w:type="dxa"/>
          </w:tcPr>
          <w:p w14:paraId="5C84B1E5" w14:textId="77777777" w:rsidR="00314A46" w:rsidRDefault="00314A46" w:rsidP="00887872">
            <w:r>
              <w:t>15-21% (CKD)</w:t>
            </w:r>
          </w:p>
          <w:p w14:paraId="69A9842B" w14:textId="77777777" w:rsidR="00314A46" w:rsidRDefault="00314A46" w:rsidP="00887872">
            <w:r>
              <w:t>14-73% (Dialysis)</w:t>
            </w:r>
          </w:p>
        </w:tc>
      </w:tr>
    </w:tbl>
    <w:p w14:paraId="6808B571" w14:textId="77777777" w:rsidR="00314A46" w:rsidRDefault="00314A46" w:rsidP="00314A46">
      <w:r>
        <w:t xml:space="preserve">Over the age of 50, muscle mass declines by 1 to 2% per year, with muscle strength decreasing at a rate of 1.5% per year and 3% per year after the age of 60. Sarcopenia is twice as common as frailty. </w:t>
      </w:r>
    </w:p>
    <w:p w14:paraId="3125949B" w14:textId="77777777" w:rsidR="00314A46" w:rsidRDefault="00314A46" w:rsidP="00314A46">
      <w:pPr>
        <w:rPr>
          <w:b/>
          <w:bCs/>
        </w:rPr>
      </w:pPr>
      <w:r>
        <w:rPr>
          <w:b/>
          <w:bCs/>
        </w:rPr>
        <w:t>Anatomy and physiology</w:t>
      </w:r>
    </w:p>
    <w:p w14:paraId="09C2CF03" w14:textId="77777777" w:rsidR="00314A46" w:rsidRPr="006B163D" w:rsidRDefault="00314A46" w:rsidP="00314A46">
      <w:r>
        <w:t xml:space="preserve">Skeletal muscle comprises 30-40% of an individual’s total body mass and are the muscles responsible for voluntary movement and actions. </w:t>
      </w:r>
    </w:p>
    <w:p w14:paraId="118C4B42" w14:textId="77777777" w:rsidR="00314A46" w:rsidRDefault="00314A46" w:rsidP="00314A46">
      <w:r>
        <w:t xml:space="preserve">Sarcopenia is broadly defined as a disability due the degradation of this skeletal muscle tissue, resulting in low muscle strength and/or low physical performance. </w:t>
      </w:r>
    </w:p>
    <w:p w14:paraId="4E2FDA0C" w14:textId="77777777" w:rsidR="00314A46" w:rsidRDefault="00314A46" w:rsidP="00314A46">
      <w:r>
        <w:t xml:space="preserve">Frailty is a syndrome characterised by a reduction in functional capacity, with an increased susceptibility for developing adverse outcomes upon exposure to stressors. There is considerable overlap between sarcopenia and frailty in that there is a significant reduction in an individual’s physical capacity, but frailty encompasses a broader functional spectrum including cognitive and social components as well. </w:t>
      </w:r>
    </w:p>
    <w:p w14:paraId="1CCCEB9B" w14:textId="77777777" w:rsidR="00314A46" w:rsidRDefault="00314A46" w:rsidP="00314A46">
      <w:pPr>
        <w:rPr>
          <w:b/>
          <w:bCs/>
        </w:rPr>
      </w:pPr>
      <w:r>
        <w:rPr>
          <w:b/>
          <w:bCs/>
        </w:rPr>
        <w:t>Pathophysiology</w:t>
      </w:r>
    </w:p>
    <w:p w14:paraId="7C776CB3" w14:textId="77777777" w:rsidR="00314A46" w:rsidRDefault="00314A46" w:rsidP="00314A46">
      <w:r>
        <w:t xml:space="preserve">The mechanisms that cause sarcopenia or frailty involve a complex interplay between multiple systems and pathophysiologic processes including ageing, </w:t>
      </w:r>
      <w:proofErr w:type="spellStart"/>
      <w:r w:rsidRPr="00CE7CE8">
        <w:t>immunosenescence</w:t>
      </w:r>
      <w:proofErr w:type="spellEnd"/>
      <w:r>
        <w:t xml:space="preserve">, hormonal imbalance, sedentary lifestyle, poor nutritional status as well as other comorbidities. </w:t>
      </w:r>
    </w:p>
    <w:p w14:paraId="0C92159A" w14:textId="77777777" w:rsidR="00314A46" w:rsidRDefault="00314A46" w:rsidP="00314A46">
      <w:r>
        <w:t xml:space="preserve">In CKD specifically, metabolic acidosis, accumulation of uraemic toxins and chronic state of catabolism in clinically stable maintenance dialysis patients have been suggested to cause an imbalance of protein generation and degradation, but not proven to contribute to the early onset of sarcopenia or frailty. </w:t>
      </w:r>
    </w:p>
    <w:p w14:paraId="5B53711D" w14:textId="77777777" w:rsidR="00314A46" w:rsidRDefault="00314A46" w:rsidP="00314A46">
      <w:r>
        <w:t xml:space="preserve">Primary sarcopenia: Is a form of age-related degeneration of lean body mass and the overall musculoskeletal system. The current theory is that rate of cell damage exceeds the rate of repair and regeneration, leading to the accumulation of unrepaired molecular and cellular damage. Decreased muscle stem cell proliferation and mitochondrial mutations may also result in altered inter- and intracellular environments that sustain catabolism. </w:t>
      </w:r>
      <w:r>
        <w:br/>
      </w:r>
      <w:r>
        <w:br/>
        <w:t xml:space="preserve">Secondary sarcopenia: Is a form of degeneration of muscle tissue due to elevated levels of inflammatory associated molecules. This can be due to chronic immune activation or </w:t>
      </w:r>
      <w:proofErr w:type="spellStart"/>
      <w:r>
        <w:t>immunosenescence</w:t>
      </w:r>
      <w:proofErr w:type="spellEnd"/>
      <w:r>
        <w:t xml:space="preserve">. </w:t>
      </w:r>
      <w:proofErr w:type="spellStart"/>
      <w:r>
        <w:t>Immunosenescence</w:t>
      </w:r>
      <w:proofErr w:type="spellEnd"/>
      <w:r>
        <w:t xml:space="preserve"> is defined as an age-related decline in the immune system’s ability to generate effective cellular and antibody responses, and can lead to susceptibility to infections, </w:t>
      </w:r>
      <w:proofErr w:type="gramStart"/>
      <w:r>
        <w:t>neoplasia</w:t>
      </w:r>
      <w:proofErr w:type="gramEnd"/>
      <w:r>
        <w:t xml:space="preserve"> and autoimmune diseases. </w:t>
      </w:r>
      <w:proofErr w:type="spellStart"/>
      <w:r>
        <w:t>Immunosenescence</w:t>
      </w:r>
      <w:proofErr w:type="spellEnd"/>
      <w:r>
        <w:t xml:space="preserve"> involves an elevated </w:t>
      </w:r>
      <w:r>
        <w:lastRenderedPageBreak/>
        <w:t xml:space="preserve">interlukin-6 and tumour necrosis factor-alpha level in the skeletal muscles, which is associated with the loss of muscle mass and strength. </w:t>
      </w:r>
    </w:p>
    <w:p w14:paraId="2B2739E8" w14:textId="77777777" w:rsidR="00314A46" w:rsidRDefault="00314A46" w:rsidP="00314A46">
      <w:r>
        <w:t xml:space="preserve">Growth hormone (GH) and insulin growth factor -1 (IGF-1), sex hormones and cortisol are also important risk factors for sarcopenia and frailty, with lower serum levels of IGF-1 and dehydroepiandrosterone sulphate (DHEA-S) found in sarcopenic and frail patients. A decrease in oestrogen in postmenopausal women and testosterone in older men also lead to a decline in muscle mass and strength. </w:t>
      </w:r>
    </w:p>
    <w:p w14:paraId="1AE540FD" w14:textId="77777777" w:rsidR="00314A46" w:rsidRDefault="00314A46" w:rsidP="00314A46">
      <w:r>
        <w:t xml:space="preserve">Low physical activity due to either a sedentary lifestyle or a disease related immobility like being inactive due to dialysis have also been linked to sarcopenia. This is because skeletal muscle is continuously remodelled in response to workload, </w:t>
      </w:r>
      <w:proofErr w:type="gramStart"/>
      <w:r>
        <w:t>tension</w:t>
      </w:r>
      <w:proofErr w:type="gramEnd"/>
      <w:r>
        <w:t xml:space="preserve"> and nutrition. Low physical activity, inadequate intake of energy, or limited access to healthy foods limits skeletal muscle remodelling and development. </w:t>
      </w:r>
    </w:p>
    <w:p w14:paraId="67FAFD3A" w14:textId="77777777" w:rsidR="00314A46" w:rsidRPr="00CE7CE8" w:rsidRDefault="00314A46" w:rsidP="00314A46">
      <w:r>
        <w:rPr>
          <w:b/>
          <w:bCs/>
        </w:rPr>
        <w:t>Clinical Presentation</w:t>
      </w:r>
    </w:p>
    <w:p w14:paraId="22D199AD" w14:textId="77777777" w:rsidR="00314A46" w:rsidRDefault="00314A46" w:rsidP="00314A46">
      <w:r>
        <w:t xml:space="preserve">Sarcopenia and frailty are not routinely assessed, with patients generally perceived as being ‘frail’ based on a combination of age, sex, comorbidities, clinical experience, and patient perception of their frailty. The clinical diagnosis of sarcopenia typically involves the presence of low appendicular lean skeletal muscle mass with low muscle strength and/or low physical performance. Muscle quantity can be evaluated using many techniques including: bioelectrical impedance analysis (BIA), dual energy X-ray absorptiometry (DEXA), computed tomography (CT), magnetic resonance imaging (MRI) and anthropometry measurements such as mid-arm and calf circumference. BIA and DEXA methods are often used more than MRI or CT methods as MRI and CT methods generally incur a higher monetary cost, require highly skilled personnel, and lack established cut off values. BIA and DEXA methods are more readily available, and several measurements can be taken to improve reliability and reproducibility. </w:t>
      </w:r>
    </w:p>
    <w:p w14:paraId="5E014222" w14:textId="77777777" w:rsidR="00314A46" w:rsidRDefault="00314A46" w:rsidP="00314A46">
      <w:r>
        <w:t xml:space="preserve">Frailty can be diagnosed using two broad methods: </w:t>
      </w:r>
    </w:p>
    <w:p w14:paraId="71530CB5" w14:textId="77777777" w:rsidR="00314A46" w:rsidRDefault="00314A46" w:rsidP="00314A46">
      <w:pPr>
        <w:pStyle w:val="ListParagraph"/>
        <w:numPr>
          <w:ilvl w:val="0"/>
          <w:numId w:val="7"/>
        </w:numPr>
      </w:pPr>
      <w:r>
        <w:t xml:space="preserve">The frailty index model, which defines frailty as an accumulation of deficits across multiple organ systems including cognition and mood. </w:t>
      </w:r>
    </w:p>
    <w:p w14:paraId="1A1B6D59" w14:textId="77777777" w:rsidR="00314A46" w:rsidRDefault="00314A46" w:rsidP="00314A46">
      <w:pPr>
        <w:pStyle w:val="ListParagraph"/>
        <w:numPr>
          <w:ilvl w:val="0"/>
          <w:numId w:val="7"/>
        </w:numPr>
      </w:pPr>
      <w:r>
        <w:t xml:space="preserve">The frailty phenotype, which identifies sarcopenia as a critical pathophysiological feature where frailty is defined by the presence of three or more of the five criteria comprising weakness, slowness, shrinkage, </w:t>
      </w:r>
      <w:proofErr w:type="gramStart"/>
      <w:r>
        <w:t>exhaustion</w:t>
      </w:r>
      <w:proofErr w:type="gramEnd"/>
      <w:r>
        <w:t xml:space="preserve"> and low physical activity. This method is more commonly used in the CKD population (72% of studies)</w:t>
      </w:r>
    </w:p>
    <w:p w14:paraId="293EB0E5" w14:textId="77777777" w:rsidR="00314A46" w:rsidRDefault="00314A46" w:rsidP="00314A46">
      <w:r>
        <w:t xml:space="preserve">Other simpler methods include the Short Physical Performance Battery (SPPB), and consists of 3 components including balance, gait speed, and chair standing. </w:t>
      </w:r>
    </w:p>
    <w:p w14:paraId="6515188E" w14:textId="77777777" w:rsidR="00314A46" w:rsidRDefault="00314A46" w:rsidP="00314A46">
      <w:pPr>
        <w:rPr>
          <w:b/>
          <w:bCs/>
        </w:rPr>
      </w:pPr>
      <w:r>
        <w:rPr>
          <w:b/>
          <w:bCs/>
        </w:rPr>
        <w:t>Clinical outcomes</w:t>
      </w:r>
    </w:p>
    <w:p w14:paraId="755BF7D8" w14:textId="77777777" w:rsidR="00314A46" w:rsidRDefault="00314A46" w:rsidP="00314A46">
      <w:r>
        <w:t xml:space="preserve">Individuals with sarcopenia or frailty have an increased risk of falls and fractures, an impaired ability to perform activities of daily living, declined cognitive function, loss of independence, need for long term care placement, and death. Sarcopenia and frailty can also be exacerbated by acute illness or injury, and CKD patients with sarcopenia or frailty are strongly associated with all-cause mortality.  </w:t>
      </w:r>
    </w:p>
    <w:p w14:paraId="644007C3" w14:textId="77777777" w:rsidR="00314A46" w:rsidRPr="008D0B7E" w:rsidRDefault="00314A46" w:rsidP="00314A46">
      <w:r>
        <w:t xml:space="preserve">There is also evidence that frail kidney transplant recipients are more susceptible to early pos-transplant complications than non-frail kidney transplant patients and are also more likely to develop delirium and experience early hospital readmission. </w:t>
      </w:r>
    </w:p>
    <w:p w14:paraId="08D5FB58" w14:textId="77777777" w:rsidR="00314A46" w:rsidRDefault="00314A46" w:rsidP="00314A46">
      <w:pPr>
        <w:rPr>
          <w:b/>
          <w:bCs/>
        </w:rPr>
      </w:pPr>
    </w:p>
    <w:p w14:paraId="0776AC12" w14:textId="0B52F6E2" w:rsidR="00314A46" w:rsidRDefault="00314A46" w:rsidP="00314A46">
      <w:pPr>
        <w:rPr>
          <w:b/>
          <w:bCs/>
        </w:rPr>
      </w:pPr>
      <w:r>
        <w:rPr>
          <w:b/>
          <w:bCs/>
        </w:rPr>
        <w:lastRenderedPageBreak/>
        <w:t>Economic impact</w:t>
      </w:r>
    </w:p>
    <w:p w14:paraId="6EB3D50D" w14:textId="77777777" w:rsidR="00314A46" w:rsidRPr="006D0FDB" w:rsidRDefault="00314A46" w:rsidP="00314A46">
      <w:r>
        <w:t xml:space="preserve">The economic impact of sarcopenia and frailty are significant due to the increased risk of injury and reduced independence. It is estimated that in the year 2000, $18.5 billion or 1.5% of total healthcare expenditure in the United States was attributed to sarcopenia. Frailty was also independently associated with increased direct costs, indirect costs, and total costs associated with clinical admissions, with frail patients often incurring 50% higher costs compared to non-frail patients. Frailty may also complicate kidney transplants or other invasive procedures, as frailty increases recovery times and risk of mortality. </w:t>
      </w:r>
    </w:p>
    <w:p w14:paraId="5E717A6D" w14:textId="05B8E192" w:rsidR="00AA7CEE" w:rsidRPr="00A330D3" w:rsidRDefault="00AA7CEE" w:rsidP="00AA7CEE">
      <w:pPr>
        <w:rPr>
          <w:rFonts w:ascii="Times New Roman" w:eastAsia="Times New Roman" w:hAnsi="Times New Roman" w:cs="Times New Roman"/>
          <w:sz w:val="24"/>
          <w:szCs w:val="24"/>
          <w:lang w:eastAsia="en-AU"/>
        </w:rPr>
      </w:pPr>
    </w:p>
    <w:sectPr w:rsidR="00AA7CEE" w:rsidRPr="00A330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74D05"/>
    <w:multiLevelType w:val="hybridMultilevel"/>
    <w:tmpl w:val="4D58B2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2B49EA"/>
    <w:multiLevelType w:val="multilevel"/>
    <w:tmpl w:val="A99407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BA03D9"/>
    <w:multiLevelType w:val="hybridMultilevel"/>
    <w:tmpl w:val="E0E68BC0"/>
    <w:lvl w:ilvl="0" w:tplc="CF568AA2">
      <w:start w:val="1"/>
      <w:numFmt w:val="decimal"/>
      <w:lvlText w:val="%1."/>
      <w:lvlJc w:val="left"/>
      <w:pPr>
        <w:ind w:left="360" w:hanging="360"/>
      </w:pPr>
      <w:rPr>
        <w:rFonts w:ascii="Arial Narrow" w:eastAsia="Times New Roman" w:hAnsi="Arial Narrow" w:cs="Times New Roman" w:hint="default"/>
        <w:color w:val="00000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3DBE5764"/>
    <w:multiLevelType w:val="multilevel"/>
    <w:tmpl w:val="4A4C9492"/>
    <w:lvl w:ilvl="0">
      <w:start w:val="1"/>
      <w:numFmt w:val="decimal"/>
      <w:lvlText w:val="%1."/>
      <w:lvlJc w:val="left"/>
      <w:pPr>
        <w:tabs>
          <w:tab w:val="num" w:pos="720"/>
        </w:tabs>
        <w:ind w:left="720" w:hanging="360"/>
      </w:pPr>
      <w:rPr>
        <w:rFonts w:ascii="Arial Narrow" w:eastAsia="Times New Roman" w:hAnsi="Arial Narrow" w:cs="Times New Roman"/>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B422C2"/>
    <w:multiLevelType w:val="multilevel"/>
    <w:tmpl w:val="3C529E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DF68C8"/>
    <w:multiLevelType w:val="hybridMultilevel"/>
    <w:tmpl w:val="46127ECE"/>
    <w:lvl w:ilvl="0" w:tplc="78084C16">
      <w:start w:val="1"/>
      <w:numFmt w:val="bullet"/>
      <w:lvlText w:val="-"/>
      <w:lvlJc w:val="left"/>
      <w:pPr>
        <w:ind w:left="720" w:hanging="360"/>
      </w:pPr>
      <w:rPr>
        <w:rFonts w:ascii="Times New Roman" w:eastAsia="Times New Roman" w:hAnsi="Times New Roman" w:cs="Times New Roman" w:hint="default"/>
        <w:sz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9D11869"/>
    <w:multiLevelType w:val="multilevel"/>
    <w:tmpl w:val="6F3A6D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7009687">
    <w:abstractNumId w:val="3"/>
  </w:num>
  <w:num w:numId="2" w16cid:durableId="63645637">
    <w:abstractNumId w:val="1"/>
    <w:lvlOverride w:ilvl="0">
      <w:lvl w:ilvl="0">
        <w:numFmt w:val="decimal"/>
        <w:lvlText w:val="%1."/>
        <w:lvlJc w:val="left"/>
      </w:lvl>
    </w:lvlOverride>
  </w:num>
  <w:num w:numId="3" w16cid:durableId="634139313">
    <w:abstractNumId w:val="6"/>
    <w:lvlOverride w:ilvl="0">
      <w:lvl w:ilvl="0">
        <w:numFmt w:val="decimal"/>
        <w:lvlText w:val="%1."/>
        <w:lvlJc w:val="left"/>
      </w:lvl>
    </w:lvlOverride>
  </w:num>
  <w:num w:numId="4" w16cid:durableId="683359377">
    <w:abstractNumId w:val="4"/>
    <w:lvlOverride w:ilvl="0">
      <w:lvl w:ilvl="0">
        <w:numFmt w:val="decimal"/>
        <w:lvlText w:val="%1."/>
        <w:lvlJc w:val="left"/>
      </w:lvl>
    </w:lvlOverride>
  </w:num>
  <w:num w:numId="5" w16cid:durableId="2013874893">
    <w:abstractNumId w:val="2"/>
  </w:num>
  <w:num w:numId="6" w16cid:durableId="1911771412">
    <w:abstractNumId w:val="5"/>
  </w:num>
  <w:num w:numId="7" w16cid:durableId="2079937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E59"/>
    <w:rsid w:val="002E11B5"/>
    <w:rsid w:val="00314A46"/>
    <w:rsid w:val="00322AD7"/>
    <w:rsid w:val="00440B4B"/>
    <w:rsid w:val="00552177"/>
    <w:rsid w:val="006D26BA"/>
    <w:rsid w:val="0072526F"/>
    <w:rsid w:val="007C10CB"/>
    <w:rsid w:val="008469EE"/>
    <w:rsid w:val="00870654"/>
    <w:rsid w:val="009F3BF8"/>
    <w:rsid w:val="00A330D3"/>
    <w:rsid w:val="00AA7CEE"/>
    <w:rsid w:val="00B31801"/>
    <w:rsid w:val="00B6759F"/>
    <w:rsid w:val="00C2318D"/>
    <w:rsid w:val="00C632CA"/>
    <w:rsid w:val="00CB67D3"/>
    <w:rsid w:val="00CC0288"/>
    <w:rsid w:val="00D54978"/>
    <w:rsid w:val="00DC2213"/>
    <w:rsid w:val="00E85E59"/>
    <w:rsid w:val="00EF053E"/>
    <w:rsid w:val="00F00FEE"/>
    <w:rsid w:val="00F9652C"/>
    <w:rsid w:val="00FE1E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28C8B"/>
  <w15:chartTrackingRefBased/>
  <w15:docId w15:val="{A2385922-A6C6-4BC3-B163-0908742B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5E5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322AD7"/>
    <w:pPr>
      <w:ind w:left="720"/>
      <w:contextualSpacing/>
    </w:pPr>
  </w:style>
  <w:style w:type="table" w:styleId="TableGrid">
    <w:name w:val="Table Grid"/>
    <w:basedOn w:val="TableNormal"/>
    <w:uiPriority w:val="39"/>
    <w:rsid w:val="00314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1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10932</TotalTime>
  <Pages>4</Pages>
  <Words>1287</Words>
  <Characters>7339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Cheng</dc:creator>
  <cp:keywords/>
  <dc:description/>
  <cp:lastModifiedBy>David Cheng</cp:lastModifiedBy>
  <cp:revision>9</cp:revision>
  <dcterms:created xsi:type="dcterms:W3CDTF">2022-11-21T03:36:00Z</dcterms:created>
  <dcterms:modified xsi:type="dcterms:W3CDTF">2022-12-01T06:03:00Z</dcterms:modified>
</cp:coreProperties>
</file>