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Rule="auto"/>
        <w:rPr>
          <w:rFonts w:ascii="Arial" w:cs="Arial" w:eastAsia="Arial" w:hAnsi="Arial"/>
          <w:i w:val="0"/>
          <w:smallCaps w:val="1"/>
          <w:strike w:val="0"/>
          <w:color w:val="006cab"/>
          <w:sz w:val="30"/>
          <w:szCs w:val="30"/>
          <w:u w:val="none"/>
          <w:shd w:fill="auto" w:val="clear"/>
          <w:vertAlign w:val="baseline"/>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w:cs="Arial" w:eastAsia="Arial" w:hAnsi="Arial"/>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Administrative details</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Title of project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Project Impetus</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Current Project Team</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Project Lead: Dan Lin</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Clinicians: Dr. Brad Gardiner, Dr. Michael Lydeamore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Project description</w:t>
            </w:r>
            <w:r w:rsidDel="00000000" w:rsidR="00000000" w:rsidRPr="00000000">
              <w:rPr>
                <w:rtl w:val="0"/>
              </w:rPr>
            </w:r>
          </w:p>
        </w:tc>
      </w:tr>
    </w:tbl>
    <w:p w:rsidR="00000000" w:rsidDel="00000000" w:rsidP="00000000" w:rsidRDefault="00000000" w:rsidRPr="00000000" w14:paraId="00000017">
      <w:pPr>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aims and significance (Executive Summary) (1-2 pages)</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Background and aims</w:t>
            </w:r>
          </w:p>
          <w:p w:rsidR="00000000" w:rsidDel="00000000" w:rsidP="00000000" w:rsidRDefault="00000000" w:rsidRPr="00000000" w14:paraId="0000001C">
            <w:pPr>
              <w:spacing w:after="240" w:before="24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Transplantation is life-saving but requires medications that block the immune system to prevent rejection. This increases the risk and severity of infections that don’t normally affect healthy individuals. Measuring the level of immune function is difficult and not routinely available but would be extremely useful as medication dosing could be modified to give patients just enough to prevent rejection but not so much that they develop infections.</w:t>
            </w:r>
          </w:p>
          <w:p w:rsidR="00000000" w:rsidDel="00000000" w:rsidP="00000000" w:rsidRDefault="00000000" w:rsidRPr="00000000" w14:paraId="0000001D">
            <w:pPr>
              <w:spacing w:after="240" w:before="24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The Quantiferon®-Monitor (QFM) is a new blood test that measures the level of immune function. Early studies suggest that results correlate with the degree of immunosuppression and patients with low levels are more likely to develop infections. The overall aim of this proposal is to use this blood test to improve the ability to measure net state of immunosuppression, which would allow for individualisation of immunosuppressive therapy and minimise the risk of both under-immunosuppression (leading to organ rejection) and over-immunosuppression (resulting in infections and drug toxicity). </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Changes to scope or targets during the HISS program</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initial scope of the project was to develop an algorithm that would take in specific inputs (consisting of patient weight, days post-transplant, and QFM levels)  and return an output which stated the number of doses of a specific drug that should be given to a transplant patient. This would be achieved by first investigating the relationship between QFM levels and different types of drugs, and also between QFM levels and patients’ infection status. However, the scope of the project was deemed too wide and would require a much longer time period to complete the goals. Therefore, the scope was changed to building a software interface/user-friendly web-based immunosuppression dose-modification tool that could be used in a future prospective interventional trial.</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market need or pain point you are targeting.</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Infections remain a significant contributor to morbidity and mortality in transplant recipients [1]. This includes both common infections such as respiratory viruses and bacterial infections which can be more severe, but also opportunistic infections that don’t normally affect healthy individuals such as fungal infections, reactivation of latent herpesviruses and other rare pathogens. Optimising the level of immunosuppression to minimise the risk of these infections is of key importance. If patients are not receiving sufficient immunosuppression, they can develop rejection. However if they are overly immunosuppressed, they are at high risk for infection. While several potential biomarkers have been explored, the current standard of care for dosing is mostly empiric based on donor-recipient HLA matching, weight, time post-transplant and monitoring of calcineurin inhibitor levels, with precise targets that achieve appropriate immunosuppression for individual patients difficult to define.</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Explain the structure of the market (in particular the value/supply chain and relationships between suppliers, distributors, influencers and end customers) and your intended place in it. (po</w:t>
            </w:r>
            <w:r w:rsidDel="00000000" w:rsidR="00000000" w:rsidRPr="00000000">
              <w:rPr>
                <w:rFonts w:ascii="Arial Narrow" w:cs="Arial Narrow" w:eastAsia="Arial Narrow" w:hAnsi="Arial Narrow"/>
                <w:b w:val="1"/>
                <w:sz w:val="20"/>
                <w:szCs w:val="20"/>
                <w:rtl w:val="0"/>
              </w:rPr>
              <w:t xml:space="preserve">rter’s five forces)</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Competition in the industry</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Currently, the competition in the industry is moderately high, since there are many research studies happening concurrently, but  this is also quite a new area of research. The specific market is not the production of immunosuppressive medications, but rather the measurement and dosage calculations of these drugs. As previously mentioned, biomarkers are still being investigated (with one of them being QFM), and these are all far from the mass production stage. However, this means many markers may have a high potential to be a more accurate way to measure immunosuppressive states in individuals</w:t>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Potential of new entrants into the industry</w:t>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There is great potential for new entrants into the industry, since new biomarkers are being discovered at this point in time.</w: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Power of suppliers</w:t>
            </w: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Suppliers hold some power within the market. However, as there are a large number of different biomarkers available, the cost of biomarkers can significantly dictate how much research will be performed. As such, biomarker producers will be incentivised to keep their products at an affordable price.</w:t>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Power of customers</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customers within this market are researchers, and they hold some power by performing research on the biomarkers that are the most affordable.</w:t>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sz w:val="20"/>
                <w:szCs w:val="20"/>
                <w:u w:val="none"/>
              </w:rPr>
            </w:pPr>
            <w:r w:rsidDel="00000000" w:rsidR="00000000" w:rsidRPr="00000000">
              <w:rPr>
                <w:rFonts w:ascii="Arial Narrow" w:cs="Arial Narrow" w:eastAsia="Arial Narrow" w:hAnsi="Arial Narrow"/>
                <w:b w:val="1"/>
                <w:sz w:val="20"/>
                <w:szCs w:val="20"/>
                <w:rtl w:val="0"/>
              </w:rPr>
              <w:t xml:space="preserve">Threat of substitutes</w:t>
            </w: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high competition within the industry naturally leads to a high threat of substitutes. Each biomarker has a threat of being replaced by another if they can be proven to measure immunosuppression state more accurately.</w:t>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progress (200 words)</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Throughout the 12-week period, we have begun investigating the relationship between QFM levels and patient symptoms, and between QFM levels and serum levels of different drugs. We have identified a trend within patients that QFM levels drop significantly immediately after their transplant surgery, and consistently rise as time passes. Patients whose QFM levels do not rise enough after their transplant have been identified to be more at risk of a severe opportunistic infection. </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After the data analysis phase of the project, we moved on to developing the user interface of the software application. So far, we have created a dashboard with the necessary inputs (including patient details and QFM measurements), and an output panel that will display the results of the calculations once an algorithm has been finalised. Currently, we are focusing on making the code scalable so that changes made in the future can be easily implemented.</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planning (400 words - or GANTT chart)</w:t>
            </w:r>
          </w:p>
          <w:p w:rsidR="00000000" w:rsidDel="00000000" w:rsidP="00000000" w:rsidRDefault="00000000" w:rsidRPr="00000000" w14:paraId="0000003D">
            <w:pPr>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rPr>
              <w:drawing>
                <wp:inline distB="114300" distT="114300" distL="114300" distR="114300">
                  <wp:extent cx="5191125" cy="1422400"/>
                  <wp:effectExtent b="0" l="0" r="0" t="0"/>
                  <wp:docPr id="107374184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191125" cy="1422400"/>
                          </a:xfrm>
                          <a:prstGeom prst="rect"/>
                          <a:ln/>
                        </pic:spPr>
                      </pic:pic>
                    </a:graphicData>
                  </a:graphic>
                </wp:inline>
              </w:drawing>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business model – how will you make money?</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business model of Project Impetus will likely follow a B2B structure where hospitals and institutions that utilise the software will be billed annually. Each dosage calculation will incur a small fee, ultimately determining the annual cost, which is the total number of operations performed in the hospital. The majority of revenue will come from subscriptions and additional reimbursement will hopefully be sourced from sponsors.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To advertise the product, team members will approach clinical directors, IT staff, and front-line clinicians in hospitals. There will be demonstrations on using the software, and this could be in the form of live in-person demonstrations, video snippets, or brochures and posters. The aim of these demonstrations will be to emphasise the ease of use, its efficiency, and how it will improve patient care and reduce risks. Depending on the target audience, supporting data from clinical trials could also be displayed to demonstrate the reliability of the product.</w:t>
            </w:r>
          </w:p>
        </w:tc>
      </w:tr>
      <w:tr>
        <w:trPr>
          <w:cantSplit w:val="0"/>
          <w:trHeight w:val="510"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Outline any projected intellectual property (IP) and how this will be managed (200 words)</w:t>
            </w:r>
          </w:p>
          <w:p w:rsidR="00000000" w:rsidDel="00000000" w:rsidP="00000000" w:rsidRDefault="00000000" w:rsidRPr="00000000" w14:paraId="0000004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projected.</w:t>
            </w:r>
          </w:p>
          <w:p w:rsidR="00000000" w:rsidDel="00000000" w:rsidP="00000000" w:rsidRDefault="00000000" w:rsidRPr="00000000" w14:paraId="0000004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IP will be managed in accordance with the Monash University (Vice Chancellor) Regulations; see Part 5 of </w:t>
            </w:r>
            <w:hyperlink r:id="rId9">
              <w:r w:rsidDel="00000000" w:rsidR="00000000" w:rsidRPr="00000000">
                <w:rPr>
                  <w:rFonts w:ascii="Arial Narrow" w:cs="Arial Narrow" w:eastAsia="Arial Narrow" w:hAnsi="Arial Narrow"/>
                  <w:b w:val="0"/>
                  <w:i w:val="0"/>
                  <w:smallCaps w:val="0"/>
                  <w:strike w:val="0"/>
                  <w:color w:val="000000"/>
                  <w:sz w:val="20"/>
                  <w:szCs w:val="20"/>
                  <w:u w:val="single"/>
                  <w:shd w:fill="auto" w:val="clear"/>
                  <w:vertAlign w:val="baseline"/>
                  <w:rtl w:val="0"/>
                </w:rPr>
                <w:t xml:space="preserve">this linked document</w:t>
              </w:r>
            </w:hyperlink>
            <w:r w:rsidDel="00000000" w:rsidR="00000000" w:rsidRPr="00000000">
              <w:rPr>
                <w:rtl w:val="0"/>
              </w:rPr>
            </w:r>
          </w:p>
          <w:p w:rsidR="00000000" w:rsidDel="00000000" w:rsidP="00000000" w:rsidRDefault="00000000" w:rsidRPr="00000000" w14:paraId="0000004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Clinical champions should confirm their IP agreements with their employer(s)</w:t>
            </w:r>
          </w:p>
          <w:p w:rsidR="00000000" w:rsidDel="00000000" w:rsidP="00000000" w:rsidRDefault="00000000" w:rsidRPr="00000000" w14:paraId="0000004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An IP agreement must be in place as a condition for any direct Phase II funding unless agreed by all parties.</w:t>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IP is currently not projected - since we are not creating a physical device, there will be no need to create patents for our project. In the future, there is a possibility of seeking protection for the unique algorithms or processes that we use to calculate immunosuppressant dosages to ensure it is not easily replicated by competitors. However, this is far from being confirmed since the project is currently in its early research stages.</w:t>
            </w:r>
          </w:p>
        </w:tc>
      </w:tr>
      <w:tr>
        <w:trPr>
          <w:cantSplit w:val="0"/>
          <w:trHeight w:val="560.9765625"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F">
            <w:pPr>
              <w:pBdr>
                <w:top w:color="000000" w:space="0" w:sz="0" w:val="none"/>
                <w:left w:color="000000" w:space="0" w:sz="0" w:val="none"/>
                <w:bottom w:color="000000" w:space="0" w:sz="0" w:val="none"/>
                <w:right w:color="000000" w:space="0" w:sz="0" w:val="none"/>
                <w:between w:color="000000" w:space="0" w:sz="0" w:val="none"/>
              </w:pBdr>
              <w:rPr/>
            </w:pPr>
            <w:r w:rsidDel="00000000" w:rsidR="00000000" w:rsidRPr="00000000">
              <w:rPr>
                <w:rtl w:val="0"/>
              </w:rPr>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Customer validation</w:t>
            </w:r>
            <w:r w:rsidDel="00000000" w:rsidR="00000000" w:rsidRPr="00000000">
              <w:rPr>
                <w:rtl w:val="0"/>
              </w:rPr>
            </w:r>
          </w:p>
        </w:tc>
      </w:tr>
    </w:tbl>
    <w:p w:rsidR="00000000" w:rsidDel="00000000" w:rsidP="00000000" w:rsidRDefault="00000000" w:rsidRPr="00000000" w14:paraId="00000055">
      <w:pPr>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your ideal first customer. Define your Unique Value Proposition to that customer.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Our ideal first customer would be a clinician who has some transplant patients and is looking to calculate how much of each of their prescribed drugs they should be taking each day.</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1"/>
                <w:sz w:val="20"/>
                <w:szCs w:val="20"/>
                <w:rtl w:val="0"/>
              </w:rPr>
              <w:t xml:space="preserve">Unique value proposition</w:t>
            </w:r>
            <w:r w:rsidDel="00000000" w:rsidR="00000000" w:rsidRPr="00000000">
              <w:rPr>
                <w:rFonts w:ascii="Arial Narrow" w:cs="Arial Narrow" w:eastAsia="Arial Narrow" w:hAnsi="Arial Narrow"/>
                <w:sz w:val="20"/>
                <w:szCs w:val="20"/>
                <w:rtl w:val="0"/>
              </w:rPr>
              <w:t xml:space="preserve"> (for our final product):</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 personalised dose calculator, right at your fingertips. Enter in all the required details of your transplant patient, and we calculate the dosage required for them. You’re spared the mental gymnastics by our robust algorithm!</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B">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p w:rsidR="00000000" w:rsidDel="00000000" w:rsidP="00000000" w:rsidRDefault="00000000" w:rsidRPr="00000000" w14:paraId="0000005C">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current workflow and how your technology integrates or disrupts that flow.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Our technology will integrate seamlessly with the current workflow - once doctors prescribe the required immunosuppressive medications for their patients, they can enter in the necessary details into our software to determine what dosage amount they require.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6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End user or direct beneficiary, and </w:t>
            </w:r>
          </w:p>
          <w:p w:rsidR="00000000" w:rsidDel="00000000" w:rsidP="00000000" w:rsidRDefault="00000000" w:rsidRPr="00000000" w14:paraId="0000006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Show us what you have done, this can be </w:t>
            </w:r>
            <w:r w:rsidDel="00000000" w:rsidR="00000000" w:rsidRPr="00000000">
              <w:rPr>
                <w:rFonts w:ascii="Arial Narrow" w:cs="Arial Narrow" w:eastAsia="Arial Narrow" w:hAnsi="Arial Narrow"/>
                <w:sz w:val="20"/>
                <w:szCs w:val="20"/>
                <w:rtl w:val="0"/>
              </w:rPr>
              <w:t xml:space="preserve">in</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the form of market validation report, sample interviews, key insights. </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methodology used to validate the problem included understanding the workflow of transplant doctors and the obstacles within the process by discussing these issues with my clinician, who is an infectious diseases specialist and also regularly sees transplant patients. In addition, transplant patient interviews were conducted in the Alfred Hospital to understand the long-term effects of opportunistic infections and managing dosages of several different drugs.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Request for non-financial support</w:t>
            </w:r>
            <w:r w:rsidDel="00000000" w:rsidR="00000000" w:rsidRPr="00000000">
              <w:rPr>
                <w:rtl w:val="0"/>
              </w:rPr>
            </w:r>
          </w:p>
        </w:tc>
      </w:tr>
    </w:tbl>
    <w:p w:rsidR="00000000" w:rsidDel="00000000" w:rsidP="00000000" w:rsidRDefault="00000000" w:rsidRPr="00000000" w14:paraId="00000072">
      <w:pPr>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Please outline any in-kind support that would assist in progressing this project.</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right="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We would appreciate team members with experience in any of the following:</w:t>
            </w:r>
          </w:p>
          <w:p w:rsidR="00000000" w:rsidDel="00000000" w:rsidP="00000000" w:rsidRDefault="00000000" w:rsidRPr="00000000" w14:paraId="0000007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Data modelling</w:t>
            </w:r>
            <w:r w:rsidDel="00000000" w:rsidR="00000000" w:rsidRPr="00000000">
              <w:rPr>
                <w:rtl w:val="0"/>
              </w:rPr>
            </w:r>
          </w:p>
          <w:p w:rsidR="00000000" w:rsidDel="00000000" w:rsidP="00000000" w:rsidRDefault="00000000" w:rsidRPr="00000000" w14:paraId="0000007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Experience working with data analysis tools, including R</w:t>
            </w:r>
            <w:r w:rsidDel="00000000" w:rsidR="00000000" w:rsidRPr="00000000">
              <w:rPr>
                <w:rtl w:val="0"/>
              </w:rPr>
            </w:r>
          </w:p>
          <w:p w:rsidR="00000000" w:rsidDel="00000000" w:rsidP="00000000" w:rsidRDefault="00000000" w:rsidRPr="00000000" w14:paraId="0000007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Website design</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Student project teams</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7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 small team (2-5) of students working in their spare time</w:t>
            </w:r>
          </w:p>
          <w:p w:rsidR="00000000" w:rsidDel="00000000" w:rsidP="00000000" w:rsidRDefault="00000000" w:rsidRPr="00000000" w14:paraId="0000008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may be recruited with specific skills if needed</w:t>
            </w:r>
          </w:p>
          <w:p w:rsidR="00000000" w:rsidDel="00000000" w:rsidP="00000000" w:rsidRDefault="00000000" w:rsidRPr="00000000" w14:paraId="0000008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Regular consultation (~ monthly) is still required with the student leaders of the team to monitor progress and plan future work, similar to </w:t>
            </w:r>
            <w:r w:rsidDel="00000000" w:rsidR="00000000" w:rsidRPr="00000000">
              <w:rPr>
                <w:rFonts w:ascii="Arial Narrow" w:cs="Arial Narrow" w:eastAsia="Arial Narrow" w:hAnsi="Arial Narrow"/>
                <w:sz w:val="20"/>
                <w:szCs w:val="20"/>
                <w:rtl w:val="0"/>
              </w:rPr>
              <w:t xml:space="preserve">HISS Program</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right="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project may be better suited for a team of students within the IT faculty since the entire project is software-based and requires the skill sets developed from FIT students.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Financial support</w:t>
            </w:r>
            <w:r w:rsidDel="00000000" w:rsidR="00000000" w:rsidRPr="00000000">
              <w:rPr>
                <w:rtl w:val="0"/>
              </w:rPr>
            </w:r>
          </w:p>
        </w:tc>
      </w:tr>
    </w:tbl>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Budget</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Describe any other funding streams that will be/might become available for the project. </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At least $10 000 would be required for the continuation of the project, and these funds would be required by 2024 to support the process of organising clinical trials.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Funding Outcomes (200 words)</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concrete outcomes would become achievable if your project received the further funding described above?</w:t>
            </w:r>
          </w:p>
          <w:p w:rsidR="00000000" w:rsidDel="00000000" w:rsidP="00000000" w:rsidRDefault="00000000" w:rsidRPr="00000000" w14:paraId="00000096">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funds would go towards investigator and staff salaries, equipment and supplies, monitoring, data management and analysis, and regulatory submissions and approvals. The outcome of these funds would be a successful clinical trial.</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Sustainability (200 words)</w:t>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project will be self-sustaining for the following year if taken on by members within the IT faculty. However, external support will be required at least by the end of the year to assist with validating results and conducting clinical trials.</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0">
            <w:pPr>
              <w:pBdr>
                <w:top w:color="000000" w:space="0" w:sz="0" w:val="none"/>
                <w:left w:color="000000" w:space="0" w:sz="0" w:val="none"/>
                <w:bottom w:color="000000" w:space="0" w:sz="0" w:val="none"/>
                <w:right w:color="000000" w:space="0" w:sz="0" w:val="none"/>
                <w:between w:color="000000" w:space="0" w:sz="0" w:val="none"/>
              </w:pBdr>
              <w:rPr>
                <w:i w:val="1"/>
                <w:sz w:val="20"/>
                <w:szCs w:val="20"/>
              </w:rPr>
            </w:pP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Understanding the team</w:t>
            </w:r>
            <w:r w:rsidDel="00000000" w:rsidR="00000000" w:rsidRPr="00000000">
              <w:rPr>
                <w:rtl w:val="0"/>
              </w:rPr>
            </w:r>
          </w:p>
        </w:tc>
      </w:tr>
    </w:tbl>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Help us understand why you’re the right person to succeed in this opportunity.</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Why you and not someone else?</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you currently have an advisory team. If so, please list their names. If not, write N/A. </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 Brad Gardiner</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Dr. Michael Lydeamore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w:t>
            </w:r>
            <w:r w:rsidDel="00000000" w:rsidR="00000000" w:rsidRPr="00000000">
              <w:rPr>
                <w:rFonts w:ascii="Arial Narrow" w:cs="Arial Narrow" w:eastAsia="Arial Narrow" w:hAnsi="Arial Narrow"/>
                <w:b w:val="1"/>
                <w:sz w:val="20"/>
                <w:szCs w:val="20"/>
                <w:rtl w:val="0"/>
              </w:rPr>
              <w:t xml:space="preserve">you</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foresee the need for more team members to help keep the project running. </w:t>
            </w:r>
          </w:p>
          <w:p w:rsidR="00000000" w:rsidDel="00000000" w:rsidP="00000000" w:rsidRDefault="00000000" w:rsidRPr="00000000" w14:paraId="000000B5">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We would appreciate team members with experience in any of the following:</w:t>
            </w:r>
          </w:p>
          <w:p w:rsidR="00000000" w:rsidDel="00000000" w:rsidP="00000000" w:rsidRDefault="00000000" w:rsidRPr="00000000" w14:paraId="000000B6">
            <w:pPr>
              <w:numPr>
                <w:ilvl w:val="0"/>
                <w:numId w:val="5"/>
              </w:numPr>
              <w:spacing w:after="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Data modelling</w:t>
            </w:r>
          </w:p>
          <w:p w:rsidR="00000000" w:rsidDel="00000000" w:rsidP="00000000" w:rsidRDefault="00000000" w:rsidRPr="00000000" w14:paraId="000000B7">
            <w:pPr>
              <w:numPr>
                <w:ilvl w:val="0"/>
                <w:numId w:val="5"/>
              </w:numPr>
              <w:spacing w:after="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Experience working with data analysis tools, including R</w:t>
            </w:r>
          </w:p>
          <w:p w:rsidR="00000000" w:rsidDel="00000000" w:rsidP="00000000" w:rsidRDefault="00000000" w:rsidRPr="00000000" w14:paraId="000000B8">
            <w:pPr>
              <w:numPr>
                <w:ilvl w:val="0"/>
                <w:numId w:val="5"/>
              </w:numPr>
              <w:spacing w:after="12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Website design</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responsibilities of the new members are to assist with investigating the relationship between QFM, drug levels, and patient outcomes by performing data analysis. They will also work on prototyping the user interface, and once both milestones are complete, integrating the back-end with the front-end.</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A">
            <w:pPr>
              <w:pBdr>
                <w:top w:color="000000" w:space="0" w:sz="0" w:val="none"/>
                <w:left w:color="000000" w:space="0" w:sz="0" w:val="none"/>
                <w:bottom w:color="000000" w:space="0" w:sz="0" w:val="none"/>
                <w:right w:color="000000" w:space="0" w:sz="0" w:val="none"/>
                <w:between w:color="000000" w:space="0" w:sz="0" w:val="none"/>
              </w:pBdr>
              <w:rPr>
                <w:i w:val="1"/>
                <w:sz w:val="20"/>
                <w:szCs w:val="20"/>
              </w:rPr>
            </w:pPr>
            <w:r w:rsidDel="00000000" w:rsidR="00000000" w:rsidRPr="00000000">
              <w:rPr>
                <w:rtl w:val="0"/>
              </w:rPr>
            </w:r>
          </w:p>
        </w:tc>
      </w:tr>
    </w:tbl>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sectPr>
      <w:headerReference r:id="rId10" w:type="default"/>
      <w:footerReference r:id="rId11" w:type="default"/>
      <w:pgSz w:h="16840" w:w="11900" w:orient="portrait"/>
      <w:pgMar w:bottom="567" w:top="567" w:left="1134" w:right="1134" w:header="90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Healthcare Innovation Summer Scholarship</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sz w:val="16"/>
        <w:szCs w:val="16"/>
        <w:rtl w:val="0"/>
      </w:rPr>
      <w:t xml:space="preserve">PROJECT NEED DOCUMENT</w:t>
    </w:r>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wrapNone/>
              <wp:docPr id="1073741845" name=""/>
              <a:graphic>
                <a:graphicData uri="http://schemas.microsoft.com/office/word/2010/wordprocessingShape">
                  <wps:wsp>
                    <wps:cNvSpPr txBox="1"/>
                    <wps:spPr>
                      <a:xfrm>
                        <a:off x="0" y="0"/>
                        <a:ext cx="2390710" cy="551306"/>
                      </a:xfrm>
                      <a:prstGeom prst="rect">
                        <a:avLst/>
                      </a:prstGeom>
                      <a:solidFill>
                        <a:srgbClr val="FFFFFF"/>
                      </a:solidFill>
                      <a:ln cap="flat" w="12700">
                        <a:noFill/>
                        <a:miter lim="400000"/>
                      </a:ln>
                      <a:effectLst/>
                    </wps:spPr>
                    <wps:txbx>
                      <w:txbxContent>
                        <w:p w:rsidR="00C5287A" w:rsidDel="00000000" w:rsidP="00000000" w:rsidRDefault="008C5E6A" w:rsidRPr="00000000" w14:paraId="776EFA6D" w14:textId="4B7E63E1">
                          <w:pPr>
                            <w:pStyle w:val="Body"/>
                          </w:pPr>
                          <w:r w:rsidDel="00000000" w:rsidR="00000000" w:rsidRPr="00000000">
                            <w:rPr>
                              <w:noProof w:val="1"/>
                            </w:rPr>
                            <w:drawing>
                              <wp:inline distB="0" distT="0" distL="0" distR="0">
                                <wp:extent cx="1892275" cy="594234"/>
                                <wp:effectExtent b="0" l="0" r="0" t="0"/>
                                <wp:docPr id="1073741827" name="officeArt object"/>
                                <wp:cNvGraphicFramePr/>
                                <a:graphic>
                                  <a:graphicData uri="http://schemas.openxmlformats.org/drawingml/2006/picture">
                                    <pic:pic>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anchor="t" bIns="45719" lIns="45719" numCol="1" rIns="45719" wrap="square" tIns="45719">
                      <a:noAutofit/>
                    </wps:bodyPr>
                  </wps:wsp>
                </a:graphicData>
              </a:graphic>
            </wp:anchor>
          </w:drawing>
        </mc:Choice>
        <mc:Fallback>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4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737658</wp:posOffset>
          </wp:positionH>
          <wp:positionV relativeFrom="page">
            <wp:posOffset>574251</wp:posOffset>
          </wp:positionV>
          <wp:extent cx="1085850" cy="314897"/>
          <wp:effectExtent b="0" l="0" r="0" t="0"/>
          <wp:wrapNone/>
          <wp:docPr descr="2016-Monash_2-Black_NEW.png" id="1073741846" name="image5.png"/>
          <a:graphic>
            <a:graphicData uri="http://schemas.openxmlformats.org/drawingml/2006/picture">
              <pic:pic>
                <pic:nvPicPr>
                  <pic:cNvPr descr="2016-Monash_2-Black_NEW.png" id="0" name="image5.png"/>
                  <pic:cNvPicPr preferRelativeResize="0"/>
                </pic:nvPicPr>
                <pic:blipFill>
                  <a:blip r:embed="rId3"/>
                  <a:srcRect b="0" l="0" r="0" t="0"/>
                  <a:stretch>
                    <a:fillRect/>
                  </a:stretch>
                </pic:blipFill>
                <pic:spPr>
                  <a:xfrm>
                    <a:off x="0" y="0"/>
                    <a:ext cx="1085850" cy="314897"/>
                  </a:xfrm>
                  <a:prstGeom prst="rect"/>
                  <a:ln/>
                </pic:spPr>
              </pic:pic>
            </a:graphicData>
          </a:graphic>
        </wp:anchor>
      </w:drawing>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5537834</wp:posOffset>
          </wp:positionH>
          <wp:positionV relativeFrom="page">
            <wp:posOffset>476462</wp:posOffset>
          </wp:positionV>
          <wp:extent cx="1160145" cy="488316"/>
          <wp:effectExtent b="0" l="0" r="0" t="0"/>
          <wp:wrapNone/>
          <wp:docPr descr="MYMI_logo_sheild_lightBG.png" id="1073741847" name="image4.png"/>
          <a:graphic>
            <a:graphicData uri="http://schemas.openxmlformats.org/drawingml/2006/picture">
              <pic:pic>
                <pic:nvPicPr>
                  <pic:cNvPr descr="MYMI_logo_sheild_lightBG.png" id="0" name="image4.png"/>
                  <pic:cNvPicPr preferRelativeResize="0"/>
                </pic:nvPicPr>
                <pic:blipFill>
                  <a:blip r:embed="rId4"/>
                  <a:srcRect b="0" l="0" r="0" t="0"/>
                  <a:stretch>
                    <a:fillRect/>
                  </a:stretch>
                </pic:blipFill>
                <pic:spPr>
                  <a:xfrm>
                    <a:off x="0" y="0"/>
                    <a:ext cx="1160145" cy="488316"/>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2300514</wp:posOffset>
          </wp:positionH>
          <wp:positionV relativeFrom="paragraph">
            <wp:posOffset>-162556</wp:posOffset>
          </wp:positionV>
          <wp:extent cx="2042160" cy="648970"/>
          <wp:effectExtent b="0" l="0" r="0" t="0"/>
          <wp:wrapTopAndBottom distB="0" distT="0"/>
          <wp:docPr descr="../../Monash%20Partners%20Logo_01.jpg" id="1073741849" name="image7.jpg"/>
          <a:graphic>
            <a:graphicData uri="http://schemas.openxmlformats.org/drawingml/2006/picture">
              <pic:pic>
                <pic:nvPicPr>
                  <pic:cNvPr descr="../../Monash%20Partners%20Logo_01.jpg" id="0" name="image7.jpg"/>
                  <pic:cNvPicPr preferRelativeResize="0"/>
                </pic:nvPicPr>
                <pic:blipFill>
                  <a:blip r:embed="rId5"/>
                  <a:srcRect b="0" l="0" r="0" t="0"/>
                  <a:stretch>
                    <a:fillRect/>
                  </a:stretch>
                </pic:blipFill>
                <pic:spPr>
                  <a:xfrm>
                    <a:off x="0" y="0"/>
                    <a:ext cx="2042160" cy="6489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1273810</wp:posOffset>
          </wp:positionH>
          <wp:positionV relativeFrom="paragraph">
            <wp:posOffset>-126248</wp:posOffset>
          </wp:positionV>
          <wp:extent cx="686993" cy="512916"/>
          <wp:effectExtent b="0" l="0" r="0" t="0"/>
          <wp:wrapNone/>
          <wp:docPr descr="Picture 2" id="1073741850" name="image6.png"/>
          <a:graphic>
            <a:graphicData uri="http://schemas.openxmlformats.org/drawingml/2006/picture">
              <pic:pic>
                <pic:nvPicPr>
                  <pic:cNvPr descr="Picture 2" id="0" name="image6.png"/>
                  <pic:cNvPicPr preferRelativeResize="0"/>
                </pic:nvPicPr>
                <pic:blipFill>
                  <a:blip r:embed="rId6"/>
                  <a:srcRect b="25450" l="78990" r="6324" t="45315"/>
                  <a:stretch>
                    <a:fillRect/>
                  </a:stretch>
                </pic:blipFill>
                <pic:spPr>
                  <a:xfrm>
                    <a:off x="0" y="0"/>
                    <a:ext cx="686993" cy="5129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7B31C1"/>
    <w:rPr>
      <w:sz w:val="24"/>
      <w:szCs w:val="24"/>
      <w:lang w:eastAsia="en-US" w:val="en-US"/>
    </w:rPr>
  </w:style>
  <w:style w:type="paragraph" w:styleId="Heading2">
    <w:name w:val="heading 2"/>
    <w:basedOn w:val="Normal"/>
    <w:next w:val="Normal"/>
    <w:link w:val="Heading2Char"/>
    <w:uiPriority w:val="9"/>
    <w:unhideWhenUsed w:val="1"/>
    <w:qFormat w:val="1"/>
    <w:rsid w:val="007A7515"/>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Bodycopy" w:customStyle="1">
    <w:name w:val="Body copy"/>
    <w:pPr>
      <w:spacing w:after="120" w:before="120"/>
    </w:pPr>
    <w:rPr>
      <w:rFonts w:ascii="Arial" w:cs="Arial Unicode MS" w:hAnsi="Arial"/>
      <w:color w:val="000000"/>
      <w:sz w:val="18"/>
      <w:szCs w:val="18"/>
      <w:u w:color="000000"/>
      <w:lang w:val="en-US"/>
    </w:rPr>
  </w:style>
  <w:style w:type="paragraph" w:styleId="Body" w:customStyle="1">
    <w:name w:val="Body"/>
    <w:pPr>
      <w:spacing w:after="120"/>
    </w:pPr>
    <w:rPr>
      <w:rFonts w:ascii="Arial Narrow" w:cs="Arial Unicode MS" w:hAnsi="Arial Narrow"/>
      <w:color w:val="000000"/>
      <w:sz w:val="24"/>
      <w:szCs w:val="24"/>
      <w:u w:color="000000"/>
      <w14:textOutline w14:cap="flat" w14:cmpd="sng" w14:algn="ctr">
        <w14:noFill/>
        <w14:prstDash w14:val="solid"/>
        <w14:bevel/>
      </w14:textOutline>
    </w:rPr>
  </w:style>
  <w:style w:type="paragraph" w:styleId="Footer">
    <w:name w:val="footer"/>
    <w:pPr>
      <w:tabs>
        <w:tab w:val="center" w:pos="4320"/>
        <w:tab w:val="right" w:pos="8640"/>
      </w:tabs>
      <w:spacing w:after="120"/>
    </w:pPr>
    <w:rPr>
      <w:rFonts w:ascii="Arial" w:cs="Arial Unicode MS" w:hAnsi="Arial"/>
      <w:color w:val="000000"/>
      <w:sz w:val="16"/>
      <w:szCs w:val="16"/>
      <w:u w:color="000000"/>
      <w:lang w:val="en-US"/>
    </w:rPr>
  </w:style>
  <w:style w:type="paragraph" w:styleId="Heading12" w:customStyle="1">
    <w:name w:val="Heading 1.2"/>
    <w:pPr>
      <w:spacing w:after="240" w:before="240"/>
    </w:pPr>
    <w:rPr>
      <w:rFonts w:ascii="Arial Narrow" w:cs="Arial Unicode MS" w:hAnsi="Arial Narrow"/>
      <w:b w:val="1"/>
      <w:bCs w:val="1"/>
      <w:caps w:val="1"/>
      <w:color w:val="000000"/>
      <w:sz w:val="32"/>
      <w:szCs w:val="32"/>
      <w:u w:color="000000"/>
      <w:lang w:val="en-US"/>
    </w:rPr>
  </w:style>
  <w:style w:type="numbering" w:styleId="ImportedStyle1" w:customStyle="1">
    <w:name w:val="Imported Style 1"/>
    <w:pPr>
      <w:numPr>
        <w:numId w:val="1"/>
      </w:numPr>
    </w:pPr>
  </w:style>
  <w:style w:type="paragraph" w:styleId="Default" w:customStyle="1">
    <w:name w:val="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Heading21" w:customStyle="1">
    <w:name w:val="Heading 2.1"/>
    <w:pPr>
      <w:spacing w:after="120" w:before="240"/>
    </w:pPr>
    <w:rPr>
      <w:rFonts w:ascii="Arial Narrow" w:cs="Arial Narrow" w:eastAsia="Arial Narrow" w:hAnsi="Arial Narrow"/>
      <w:caps w:val="1"/>
      <w:color w:val="006cab"/>
      <w:sz w:val="28"/>
      <w:szCs w:val="28"/>
      <w:u w:color="006cab"/>
      <w:lang w:val="en-US"/>
    </w:rPr>
  </w:style>
  <w:style w:type="paragraph" w:styleId="ListParagraph">
    <w:name w:val="List Paragraph"/>
    <w:pPr>
      <w:spacing w:after="120"/>
      <w:ind w:left="720"/>
    </w:pPr>
    <w:rPr>
      <w:rFonts w:ascii="Arial Narrow" w:cs="Arial Unicode MS" w:hAnsi="Arial Narrow"/>
      <w:color w:val="000000"/>
      <w:sz w:val="24"/>
      <w:szCs w:val="24"/>
      <w:u w:color="000000"/>
      <w:lang w:val="en-US"/>
    </w:r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rPr>
      <w:sz w:val="24"/>
      <w:szCs w:val="24"/>
      <w:lang w:eastAsia="en-US" w:val="en-US"/>
    </w:rPr>
  </w:style>
  <w:style w:type="character" w:styleId="CommentReference">
    <w:name w:val="annotation reference"/>
    <w:basedOn w:val="DefaultParagraphFont"/>
    <w:uiPriority w:val="99"/>
    <w:semiHidden w:val="1"/>
    <w:unhideWhenUsed w:val="1"/>
    <w:rPr>
      <w:sz w:val="18"/>
      <w:szCs w:val="18"/>
    </w:rPr>
  </w:style>
  <w:style w:type="paragraph" w:styleId="BalloonText">
    <w:name w:val="Balloon Text"/>
    <w:basedOn w:val="Normal"/>
    <w:link w:val="BalloonTextChar"/>
    <w:uiPriority w:val="99"/>
    <w:semiHidden w:val="1"/>
    <w:unhideWhenUsed w:val="1"/>
    <w:rsid w:val="002E2D10"/>
    <w:rPr>
      <w:sz w:val="18"/>
      <w:szCs w:val="18"/>
    </w:rPr>
  </w:style>
  <w:style w:type="character" w:styleId="BalloonTextChar" w:customStyle="1">
    <w:name w:val="Balloon Text Char"/>
    <w:basedOn w:val="DefaultParagraphFont"/>
    <w:link w:val="BalloonText"/>
    <w:uiPriority w:val="99"/>
    <w:semiHidden w:val="1"/>
    <w:rsid w:val="002E2D10"/>
    <w:rPr>
      <w:sz w:val="18"/>
      <w:szCs w:val="18"/>
      <w:lang w:eastAsia="en-US" w:val="en-US"/>
    </w:rPr>
  </w:style>
  <w:style w:type="paragraph" w:styleId="Header">
    <w:name w:val="header"/>
    <w:basedOn w:val="Normal"/>
    <w:link w:val="HeaderChar"/>
    <w:uiPriority w:val="99"/>
    <w:unhideWhenUsed w:val="1"/>
    <w:rsid w:val="002E2D10"/>
    <w:pPr>
      <w:tabs>
        <w:tab w:val="center" w:pos="4513"/>
        <w:tab w:val="right" w:pos="9026"/>
      </w:tabs>
    </w:pPr>
  </w:style>
  <w:style w:type="character" w:styleId="HeaderChar" w:customStyle="1">
    <w:name w:val="Header Char"/>
    <w:basedOn w:val="DefaultParagraphFont"/>
    <w:link w:val="Header"/>
    <w:uiPriority w:val="99"/>
    <w:rsid w:val="002E2D10"/>
    <w:rPr>
      <w:sz w:val="24"/>
      <w:szCs w:val="24"/>
      <w:lang w:eastAsia="en-US" w:val="en-US"/>
    </w:rPr>
  </w:style>
  <w:style w:type="character" w:styleId="Heading2Char" w:customStyle="1">
    <w:name w:val="Heading 2 Char"/>
    <w:basedOn w:val="DefaultParagraphFont"/>
    <w:link w:val="Heading2"/>
    <w:uiPriority w:val="9"/>
    <w:rsid w:val="007A7515"/>
    <w:rPr>
      <w:rFonts w:asciiTheme="majorHAnsi" w:cstheme="majorBidi" w:eastAsiaTheme="majorEastAsia" w:hAnsiTheme="majorHAnsi"/>
      <w:color w:val="2e74b5" w:themeColor="accent1" w:themeShade="0000BF"/>
      <w:sz w:val="26"/>
      <w:szCs w:val="26"/>
      <w:lang w:eastAsia="en-US" w:val="en-US"/>
    </w:rPr>
  </w:style>
  <w:style w:type="paragraph" w:styleId="NoSpacing">
    <w:name w:val="No Spacing"/>
    <w:uiPriority w:val="1"/>
    <w:qFormat w:val="1"/>
    <w:rsid w:val="001E1377"/>
    <w:rPr>
      <w:sz w:val="24"/>
      <w:szCs w:val="24"/>
      <w:lang w:eastAsia="en-US" w:val="en-US"/>
    </w:rPr>
  </w:style>
  <w:style w:type="character" w:styleId="FollowedHyperlink">
    <w:name w:val="FollowedHyperlink"/>
    <w:basedOn w:val="DefaultParagraphFont"/>
    <w:uiPriority w:val="99"/>
    <w:semiHidden w:val="1"/>
    <w:unhideWhenUsed w:val="1"/>
    <w:rsid w:val="00BC092B"/>
    <w:rPr>
      <w:color w:val="ff00ff" w:themeColor="followedHyperlink"/>
      <w:u w:val="single"/>
    </w:rPr>
  </w:style>
  <w:style w:type="table" w:styleId="TableGrid">
    <w:name w:val="Table Grid"/>
    <w:basedOn w:val="TableNormal"/>
    <w:uiPriority w:val="39"/>
    <w:rsid w:val="005775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monash.edu/__data/assets/pdf_file/0005/136940/monash-university-vice-chancellor-regulations-with-amendments.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ArialNarrow-boldItalic.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5.png"/><Relationship Id="rId4" Type="http://schemas.openxmlformats.org/officeDocument/2006/relationships/image" Target="media/image4.png"/><Relationship Id="rId5" Type="http://schemas.openxmlformats.org/officeDocument/2006/relationships/image" Target="media/image7.jpg"/><Relationship Id="rId6" Type="http://schemas.openxmlformats.org/officeDocument/2006/relationships/image" Target="media/image6.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NPGAEXj7WoyLZpZ4eZ/60QXhKSw==">AMUW2mUO/c0uju4PThTDVc14jPyloqK2TRFhWDR4uYjz1AGx80PijREc9eVa9HaqrP3BuPjd7WJ/OU3hv2XGPu+PuitJoK0KwuFOY6rgdITQMmZ2NvTzZOQ=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2022-01-20T22:44:00Z</dcterms:created>
  <dc:creator>Rhonda Garad</dc:creator>
</cp:coreProperties>
</file>