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5"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3" name="image3.jpg"/>
            <a:graphic>
              <a:graphicData uri="http://schemas.openxmlformats.org/drawingml/2006/picture">
                <pic:pic>
                  <pic:nvPicPr>
                    <pic:cNvPr id="0" name="image3.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EBOARD</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9 (Week 10)</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MEMBER(S):  SAHIL BHATIA, MARIA ZARCO-VERA, LLOYD LOK</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Gantt chart:</w:t>
      </w:r>
    </w:p>
    <w:p w:rsidR="00000000" w:rsidDel="00000000" w:rsidP="00000000" w:rsidRDefault="00000000" w:rsidRPr="00000000" w14:paraId="00000008">
      <w:pPr>
        <w:rPr>
          <w:rFonts w:ascii="Arial Narrow" w:cs="Arial Narrow" w:eastAsia="Arial Narrow" w:hAnsi="Arial Narrow"/>
          <w:b w:val="1"/>
        </w:rPr>
      </w:pPr>
      <w:r w:rsidDel="00000000" w:rsidR="00000000" w:rsidRPr="00000000">
        <w:rPr>
          <w:rFonts w:ascii="Arial Narrow" w:cs="Arial Narrow" w:eastAsia="Arial Narrow" w:hAnsi="Arial Narrow"/>
          <w:b w:val="1"/>
        </w:rPr>
        <w:drawing>
          <wp:inline distB="114300" distT="114300" distL="114300" distR="114300">
            <wp:extent cx="5886805" cy="3021633"/>
            <wp:effectExtent b="0" l="0" r="0" t="0"/>
            <wp:docPr id="26"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5886805" cy="302163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981075</wp:posOffset>
                </wp:positionH>
                <wp:positionV relativeFrom="paragraph">
                  <wp:posOffset>440829</wp:posOffset>
                </wp:positionV>
                <wp:extent cx="190500" cy="190500"/>
                <wp:effectExtent b="0" l="0" r="0" t="0"/>
                <wp:wrapNone/>
                <wp:docPr id="21" name=""/>
                <a:graphic>
                  <a:graphicData uri="http://schemas.microsoft.com/office/word/2010/wordprocessingShape">
                    <wps:wsp>
                      <wps:cNvSpPr/>
                      <wps:cNvPr id="2" name="Shape 2"/>
                      <wps:spPr>
                        <a:xfrm>
                          <a:off x="1306000" y="903775"/>
                          <a:ext cx="4873500" cy="2309400"/>
                        </a:xfrm>
                        <a:prstGeom prst="ellipse">
                          <a:avLst/>
                        </a:prstGeom>
                        <a:noFill/>
                        <a:ln cap="flat" cmpd="sng" w="1524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981075</wp:posOffset>
                </wp:positionH>
                <wp:positionV relativeFrom="paragraph">
                  <wp:posOffset>440829</wp:posOffset>
                </wp:positionV>
                <wp:extent cx="190500" cy="190500"/>
                <wp:effectExtent b="0" l="0" r="0" t="0"/>
                <wp:wrapNone/>
                <wp:docPr id="21" name="image1.png"/>
                <a:graphic>
                  <a:graphicData uri="http://schemas.openxmlformats.org/drawingml/2006/picture">
                    <pic:pic>
                      <pic:nvPicPr>
                        <pic:cNvPr id="0" name="image1.png"/>
                        <pic:cNvPicPr preferRelativeResize="0"/>
                      </pic:nvPicPr>
                      <pic:blipFill>
                        <a:blip r:embed="rId11"/>
                        <a:srcRect/>
                        <a:stretch>
                          <a:fillRect/>
                        </a:stretch>
                      </pic:blipFill>
                      <pic:spPr>
                        <a:xfrm>
                          <a:off x="0" y="0"/>
                          <a:ext cx="190500" cy="190500"/>
                        </a:xfrm>
                        <a:prstGeom prst="rect"/>
                        <a:ln/>
                      </pic:spPr>
                    </pic:pic>
                  </a:graphicData>
                </a:graphic>
              </wp:anchor>
            </w:drawing>
          </mc:Fallback>
        </mc:AlternateContent>
      </w:r>
    </w:p>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Currently, the project is still progressing under the proof of concept stages. Research is being conducted on how the solution will be envisioned. Further prototyping details are listed below.</w:t>
      </w:r>
    </w:p>
    <w:p w:rsidR="00000000" w:rsidDel="00000000" w:rsidP="00000000" w:rsidRDefault="00000000" w:rsidRPr="00000000" w14:paraId="0000000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Prototyping progress:</w:t>
      </w:r>
    </w:p>
    <w:p w:rsidR="00000000" w:rsidDel="00000000" w:rsidP="00000000" w:rsidRDefault="00000000" w:rsidRPr="00000000" w14:paraId="0000000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Week 10 Prototyping summary:</w:t>
      </w:r>
    </w:p>
    <w:p w:rsidR="00000000" w:rsidDel="00000000" w:rsidP="00000000" w:rsidRDefault="00000000" w:rsidRPr="00000000" w14:paraId="0000000E">
      <w:pPr>
        <w:numPr>
          <w:ilvl w:val="0"/>
          <w:numId w:val="2"/>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Researched methods existing to obtain live data from a database</w:t>
      </w:r>
    </w:p>
    <w:p w:rsidR="00000000" w:rsidDel="00000000" w:rsidP="00000000" w:rsidRDefault="00000000" w:rsidRPr="00000000" w14:paraId="0000000F">
      <w:pPr>
        <w:numPr>
          <w:ilvl w:val="1"/>
          <w:numId w:val="2"/>
        </w:numPr>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Web scraping </w:t>
      </w:r>
    </w:p>
    <w:p w:rsidR="00000000" w:rsidDel="00000000" w:rsidP="00000000" w:rsidRDefault="00000000" w:rsidRPr="00000000" w14:paraId="00000010">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APIs</w:t>
      </w:r>
    </w:p>
    <w:p w:rsidR="00000000" w:rsidDel="00000000" w:rsidP="00000000" w:rsidRDefault="00000000" w:rsidRPr="00000000" w14:paraId="00000011">
      <w:pPr>
        <w:numPr>
          <w:ilvl w:val="0"/>
          <w:numId w:val="2"/>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Found out what platform current EMR data is stored on</w:t>
      </w:r>
    </w:p>
    <w:p w:rsidR="00000000" w:rsidDel="00000000" w:rsidP="00000000" w:rsidRDefault="00000000" w:rsidRPr="00000000" w14:paraId="00000012">
      <w:pPr>
        <w:numPr>
          <w:ilvl w:val="1"/>
          <w:numId w:val="2"/>
        </w:numPr>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EMR is on </w:t>
      </w:r>
      <w:r w:rsidDel="00000000" w:rsidR="00000000" w:rsidRPr="00000000">
        <w:rPr>
          <w:rFonts w:ascii="Arial Narrow" w:cs="Arial Narrow" w:eastAsia="Arial Narrow" w:hAnsi="Arial Narrow"/>
          <w:b w:val="1"/>
          <w:rtl w:val="0"/>
        </w:rPr>
        <w:t xml:space="preserve">Cerner Millennium</w:t>
      </w:r>
      <w:r w:rsidDel="00000000" w:rsidR="00000000" w:rsidRPr="00000000">
        <w:rPr>
          <w:rFonts w:ascii="Arial Narrow" w:cs="Arial Narrow" w:eastAsia="Arial Narrow" w:hAnsi="Arial Narrow"/>
          <w:rtl w:val="0"/>
        </w:rPr>
        <w:t xml:space="preserve"> and uses an </w:t>
      </w:r>
      <w:r w:rsidDel="00000000" w:rsidR="00000000" w:rsidRPr="00000000">
        <w:rPr>
          <w:rFonts w:ascii="Arial Narrow" w:cs="Arial Narrow" w:eastAsia="Arial Narrow" w:hAnsi="Arial Narrow"/>
          <w:b w:val="1"/>
          <w:rtl w:val="0"/>
        </w:rPr>
        <w:t xml:space="preserve">Oracle database. </w:t>
      </w:r>
    </w:p>
    <w:p w:rsidR="00000000" w:rsidDel="00000000" w:rsidP="00000000" w:rsidRDefault="00000000" w:rsidRPr="00000000" w14:paraId="00000013">
      <w:pPr>
        <w:numPr>
          <w:ilvl w:val="1"/>
          <w:numId w:val="2"/>
        </w:numPr>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ICT and Decision Support have access to an</w:t>
      </w:r>
      <w:r w:rsidDel="00000000" w:rsidR="00000000" w:rsidRPr="00000000">
        <w:rPr>
          <w:rFonts w:ascii="Arial Narrow" w:cs="Arial Narrow" w:eastAsia="Arial Narrow" w:hAnsi="Arial Narrow"/>
          <w:b w:val="1"/>
          <w:rtl w:val="0"/>
        </w:rPr>
        <w:t xml:space="preserve"> ODAC connection</w:t>
      </w:r>
      <w:r w:rsidDel="00000000" w:rsidR="00000000" w:rsidRPr="00000000">
        <w:rPr>
          <w:rFonts w:ascii="Arial Narrow" w:cs="Arial Narrow" w:eastAsia="Arial Narrow" w:hAnsi="Arial Narrow"/>
          <w:rtl w:val="0"/>
        </w:rPr>
        <w:t xml:space="preserve"> but the access is very tightly controlled.  </w:t>
      </w:r>
    </w:p>
    <w:p w:rsidR="00000000" w:rsidDel="00000000" w:rsidP="00000000" w:rsidRDefault="00000000" w:rsidRPr="00000000" w14:paraId="00000014">
      <w:pPr>
        <w:numPr>
          <w:ilvl w:val="1"/>
          <w:numId w:val="2"/>
        </w:numPr>
        <w:ind w:left="144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For other purposes, a web service to fetch specific data via </w:t>
      </w:r>
      <w:r w:rsidDel="00000000" w:rsidR="00000000" w:rsidRPr="00000000">
        <w:rPr>
          <w:rFonts w:ascii="Arial Narrow" w:cs="Arial Narrow" w:eastAsia="Arial Narrow" w:hAnsi="Arial Narrow"/>
          <w:b w:val="1"/>
          <w:rtl w:val="0"/>
        </w:rPr>
        <w:t xml:space="preserve">HTTPS </w:t>
      </w:r>
      <w:r w:rsidDel="00000000" w:rsidR="00000000" w:rsidRPr="00000000">
        <w:rPr>
          <w:rFonts w:ascii="Arial Narrow" w:cs="Arial Narrow" w:eastAsia="Arial Narrow" w:hAnsi="Arial Narrow"/>
          <w:rtl w:val="0"/>
        </w:rPr>
        <w:t xml:space="preserve">has been developed.</w:t>
      </w:r>
    </w:p>
    <w:p w:rsidR="00000000" w:rsidDel="00000000" w:rsidP="00000000" w:rsidRDefault="00000000" w:rsidRPr="00000000" w14:paraId="00000015">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ICT used </w:t>
      </w:r>
      <w:r w:rsidDel="00000000" w:rsidR="00000000" w:rsidRPr="00000000">
        <w:rPr>
          <w:rFonts w:ascii="Arial Narrow" w:cs="Arial Narrow" w:eastAsia="Arial Narrow" w:hAnsi="Arial Narrow"/>
          <w:b w:val="1"/>
          <w:rtl w:val="0"/>
        </w:rPr>
        <w:t xml:space="preserve">Rhapsody integration</w:t>
      </w:r>
      <w:r w:rsidDel="00000000" w:rsidR="00000000" w:rsidRPr="00000000">
        <w:rPr>
          <w:rFonts w:ascii="Arial Narrow" w:cs="Arial Narrow" w:eastAsia="Arial Narrow" w:hAnsi="Arial Narrow"/>
          <w:rtl w:val="0"/>
        </w:rPr>
        <w:t xml:space="preserve"> engine to fetch the data, transform and pass it on to a receiving system outside of Eastern Health.</w:t>
      </w:r>
    </w:p>
    <w:p w:rsidR="00000000" w:rsidDel="00000000" w:rsidP="00000000" w:rsidRDefault="00000000" w:rsidRPr="00000000" w14:paraId="00000016">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response to the web service call can be</w:t>
      </w:r>
      <w:r w:rsidDel="00000000" w:rsidR="00000000" w:rsidRPr="00000000">
        <w:rPr>
          <w:rFonts w:ascii="Arial Narrow" w:cs="Arial Narrow" w:eastAsia="Arial Narrow" w:hAnsi="Arial Narrow"/>
          <w:b w:val="1"/>
          <w:rtl w:val="0"/>
        </w:rPr>
        <w:t xml:space="preserve"> JSON or XML.</w:t>
      </w:r>
    </w:p>
    <w:p w:rsidR="00000000" w:rsidDel="00000000" w:rsidP="00000000" w:rsidRDefault="00000000" w:rsidRPr="00000000" w14:paraId="0000001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information has been obtained from the Director of EMR Medical Informatics. Currently, a lot of the above data retained is jargon and will be broken down deeper hopefully with the help of Jasbir, or even further communication with Eastern Health insiders.</w:t>
      </w:r>
    </w:p>
    <w:p w:rsidR="00000000" w:rsidDel="00000000" w:rsidP="00000000" w:rsidRDefault="00000000" w:rsidRPr="00000000" w14:paraId="0000001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A">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Regulation:</w:t>
      </w:r>
      <w:r w:rsidDel="00000000" w:rsidR="00000000" w:rsidRPr="00000000">
        <w:rPr>
          <w:rtl w:val="0"/>
        </w:rPr>
      </w:r>
    </w:p>
    <w:p w:rsidR="00000000" w:rsidDel="00000000" w:rsidP="00000000" w:rsidRDefault="00000000" w:rsidRPr="00000000" w14:paraId="0000001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digitally synced whiteboard will be implemented in the Australian market (at least initially), hence would undergo regulation procedures of the TGA. This solution is considered a medical device as it helps to manage and monitor a patient's status during their stay in the emergency department. </w:t>
      </w:r>
    </w:p>
    <w:p w:rsidR="00000000" w:rsidDel="00000000" w:rsidP="00000000" w:rsidRDefault="00000000" w:rsidRPr="00000000" w14:paraId="0000001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solution is software based and simply replicates data from the EMR platform to represent it in a user-friendly and comprehensive manner. According to the TGA classifications, this device is classified as a Class IIb device, as it is:</w:t>
      </w:r>
    </w:p>
    <w:p w:rsidR="00000000" w:rsidDel="00000000" w:rsidP="00000000" w:rsidRDefault="00000000" w:rsidRPr="00000000" w14:paraId="0000001F">
      <w:pPr>
        <w:numPr>
          <w:ilvl w:val="0"/>
          <w:numId w:val="3"/>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 software that is used to </w:t>
      </w:r>
      <w:r w:rsidDel="00000000" w:rsidR="00000000" w:rsidRPr="00000000">
        <w:rPr>
          <w:rFonts w:ascii="Arial Narrow" w:cs="Arial Narrow" w:eastAsia="Arial Narrow" w:hAnsi="Arial Narrow"/>
          <w:b w:val="1"/>
          <w:rtl w:val="0"/>
        </w:rPr>
        <w:t xml:space="preserve">“monitor the state or progression of a disease, condition or parameter”</w:t>
      </w:r>
      <w:r w:rsidDel="00000000" w:rsidR="00000000" w:rsidRPr="00000000">
        <w:rPr>
          <w:rFonts w:ascii="Arial Narrow" w:cs="Arial Narrow" w:eastAsia="Arial Narrow" w:hAnsi="Arial Narrow"/>
          <w:rtl w:val="0"/>
        </w:rPr>
        <w:t xml:space="preserve"> that may indicate that patients are in immediate danger, which may pose risks to public health</w:t>
      </w:r>
    </w:p>
    <w:p w:rsidR="00000000" w:rsidDel="00000000" w:rsidP="00000000" w:rsidRDefault="00000000" w:rsidRPr="00000000" w14:paraId="00000020">
      <w:pPr>
        <w:numPr>
          <w:ilvl w:val="0"/>
          <w:numId w:val="3"/>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Considered moderate-high risk </w:t>
      </w:r>
    </w:p>
    <w:p w:rsidR="00000000" w:rsidDel="00000000" w:rsidP="00000000" w:rsidRDefault="00000000" w:rsidRPr="00000000" w14:paraId="00000021">
      <w:pPr>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Hence to regulate this device, a conformity assessment certification for the manufacturer would be necessary before it is included in the Australian Register of Therapeutic Goods (ARTG).</w:t>
      </w:r>
    </w:p>
    <w:p w:rsidR="00000000" w:rsidDel="00000000" w:rsidP="00000000" w:rsidRDefault="00000000" w:rsidRPr="00000000" w14:paraId="0000002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Risk and Hazard Analysis:</w:t>
      </w:r>
    </w:p>
    <w:p w:rsidR="00000000" w:rsidDel="00000000" w:rsidP="00000000" w:rsidRDefault="00000000" w:rsidRPr="00000000" w14:paraId="0000002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6">
      <w:pPr>
        <w:rPr>
          <w:rFonts w:ascii="Arial Narrow" w:cs="Arial Narrow" w:eastAsia="Arial Narrow" w:hAnsi="Arial Narrow"/>
          <w:b w:val="1"/>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3629025</wp:posOffset>
            </wp:positionH>
            <wp:positionV relativeFrom="paragraph">
              <wp:posOffset>120402</wp:posOffset>
            </wp:positionV>
            <wp:extent cx="2438400" cy="2836366"/>
            <wp:effectExtent b="0" l="0" r="0" t="0"/>
            <wp:wrapSquare wrapText="bothSides" distB="19050" distT="19050" distL="19050" distR="19050"/>
            <wp:docPr id="24" name="image4.png"/>
            <a:graphic>
              <a:graphicData uri="http://schemas.openxmlformats.org/drawingml/2006/picture">
                <pic:pic>
                  <pic:nvPicPr>
                    <pic:cNvPr id="0" name="image4.png"/>
                    <pic:cNvPicPr preferRelativeResize="0"/>
                  </pic:nvPicPr>
                  <pic:blipFill>
                    <a:blip r:embed="rId12"/>
                    <a:srcRect b="0" l="1661" r="0" t="0"/>
                    <a:stretch>
                      <a:fillRect/>
                    </a:stretch>
                  </pic:blipFill>
                  <pic:spPr>
                    <a:xfrm>
                      <a:off x="0" y="0"/>
                      <a:ext cx="2438400" cy="2836366"/>
                    </a:xfrm>
                    <a:prstGeom prst="rect"/>
                    <a:ln/>
                  </pic:spPr>
                </pic:pic>
              </a:graphicData>
            </a:graphic>
          </wp:anchor>
        </w:drawing>
      </w:r>
    </w:p>
    <w:tbl>
      <w:tblPr>
        <w:tblStyle w:val="Table1"/>
        <w:tblW w:w="5850.0" w:type="dxa"/>
        <w:jc w:val="left"/>
        <w:tblInd w:w="-4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5"/>
        <w:gridCol w:w="2250"/>
        <w:gridCol w:w="2355"/>
        <w:tblGridChange w:id="0">
          <w:tblGrid>
            <w:gridCol w:w="1245"/>
            <w:gridCol w:w="2250"/>
            <w:gridCol w:w="23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Risk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Classification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Mitigation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ind w:left="0" w:firstLine="0"/>
              <w:rPr>
                <w:rFonts w:ascii="Arial Narrow" w:cs="Arial Narrow" w:eastAsia="Arial Narrow" w:hAnsi="Arial Narrow"/>
                <w:b w:val="1"/>
              </w:rPr>
            </w:pPr>
            <w:r w:rsidDel="00000000" w:rsidR="00000000" w:rsidRPr="00000000">
              <w:rPr>
                <w:rFonts w:ascii="Arial Narrow" w:cs="Arial Narrow" w:eastAsia="Arial Narrow" w:hAnsi="Arial Narrow"/>
                <w:rtl w:val="0"/>
              </w:rPr>
              <w:t xml:space="preserve">Patient misinterpretation of information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Medium (Medium Frequency and High Severity) -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If patients forget the doctor’s verbal notes, and rely solely on this digitised EMR information, they may interpret subjective information in the wrong manner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Doctors must provide verbal explanation of all the details included in the digitised EMR form. Additionally the information included should be clear and concise, but shouldn’t lack important details.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ind w:left="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Security issues of ‘making copy’ of EMR data</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High (Medium Frequency, High Severity) -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If the solution used to sync/extract this data is not protected/safe, then there is potential that a third party can gain access to classified patient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should be able to control security directly and mitigate potential for this to happen. Further research needs to be done.</w:t>
            </w:r>
          </w:p>
        </w:tc>
      </w:tr>
    </w:tbl>
    <w:p w:rsidR="00000000" w:rsidDel="00000000" w:rsidP="00000000" w:rsidRDefault="00000000" w:rsidRPr="00000000" w14:paraId="0000003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5">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User Interview/testing:</w:t>
      </w:r>
    </w:p>
    <w:p w:rsidR="00000000" w:rsidDel="00000000" w:rsidP="00000000" w:rsidRDefault="00000000" w:rsidRPr="00000000" w14:paraId="0000003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During early stages, Sahil conducted some user interviews, two primary questions were asked:</w:t>
      </w:r>
    </w:p>
    <w:p w:rsidR="00000000" w:rsidDel="00000000" w:rsidP="00000000" w:rsidRDefault="00000000" w:rsidRPr="00000000" w14:paraId="00000038">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Is a solution necessary?</w:t>
      </w:r>
    </w:p>
    <w:p w:rsidR="00000000" w:rsidDel="00000000" w:rsidP="00000000" w:rsidRDefault="00000000" w:rsidRPr="00000000" w14:paraId="00000039">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If so, what method of demonstrating this information would be most appropriate?</w:t>
      </w:r>
    </w:p>
    <w:p w:rsidR="00000000" w:rsidDel="00000000" w:rsidP="00000000" w:rsidRDefault="00000000" w:rsidRPr="00000000" w14:paraId="0000003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solution was found to be necessary, given that some patients did express concerns about the lack of awareness of relevant medical information surrounding their stay in the hospital. However, this was equally met with some patients who were not bothered by this problem - perhaps because they were near the end of their patient journey.</w:t>
      </w:r>
    </w:p>
    <w:p w:rsidR="00000000" w:rsidDel="00000000" w:rsidP="00000000" w:rsidRDefault="00000000" w:rsidRPr="00000000" w14:paraId="0000003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most appropriate method of presenting the information to patients was found to be via the mobile phone - a large digital display may have caused privacy issues. Furthermore, the convenience of having a mobile phone makes this method of information delivery most suitable.</w:t>
      </w:r>
    </w:p>
    <w:p w:rsidR="00000000" w:rsidDel="00000000" w:rsidP="00000000" w:rsidRDefault="00000000" w:rsidRPr="00000000" w14:paraId="0000003C">
      <w:pPr>
        <w:ind w:left="0" w:firstLine="0"/>
        <w:rPr>
          <w:rFonts w:ascii="Arial Narrow" w:cs="Arial Narrow" w:eastAsia="Arial Narrow" w:hAnsi="Arial Narrow"/>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6.png"/><Relationship Id="rId12" Type="http://schemas.openxmlformats.org/officeDocument/2006/relationships/image" Target="media/image4.pn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yCKEsuM7Dcz+/IolryxUaXld1IA==">AMUW2mXhrGIeLn2J0xYAledooZfqcf1DkyiyncEvbAiFNr6mnTDznk+koz0A9kMAXf6XWVwDZcXnfDX+d6a8cT/TAk4BEJl/PnFWBRvIAybBQyZHtN17DPU=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