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/>
        <w:drawing>
          <wp:inline distB="19050" distT="19050" distL="19050" distR="19050">
            <wp:extent cx="1393378" cy="585788"/>
            <wp:effectExtent b="0" l="0" r="0" t="0"/>
            <wp:docPr id="26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393378" cy="58578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/>
        <w:drawing>
          <wp:inline distB="19050" distT="19050" distL="19050" distR="19050">
            <wp:extent cx="1946529" cy="623888"/>
            <wp:effectExtent b="0" l="0" r="0" t="0"/>
            <wp:docPr id="28" name="image3.jpg"/>
            <a:graphic>
              <a:graphicData uri="http://schemas.openxmlformats.org/drawingml/2006/picture">
                <pic:pic>
                  <pic:nvPicPr>
                    <pic:cNvPr id="0" name="image3.jp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946529" cy="62388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/>
        <w:drawing>
          <wp:inline distB="19050" distT="19050" distL="19050" distR="19050">
            <wp:extent cx="1909763" cy="525623"/>
            <wp:effectExtent b="0" l="0" r="0" t="0"/>
            <wp:docPr id="27" name="image4.jpg"/>
            <a:graphic>
              <a:graphicData uri="http://schemas.openxmlformats.org/drawingml/2006/picture">
                <pic:pic>
                  <pic:nvPicPr>
                    <pic:cNvPr id="0" name="image4.jpg"/>
                    <pic:cNvPicPr preferRelativeResize="0"/>
                  </pic:nvPicPr>
                  <pic:blipFill>
                    <a:blip r:embed="rId9"/>
                    <a:srcRect b="0" l="3858" r="0" t="12058"/>
                    <a:stretch>
                      <a:fillRect/>
                    </a:stretch>
                  </pic:blipFill>
                  <pic:spPr>
                    <a:xfrm>
                      <a:off x="0" y="0"/>
                      <a:ext cx="1909763" cy="525623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280" w:before="28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Arial Narrow" w:cs="Arial Narrow" w:eastAsia="Arial Narrow" w:hAnsi="Arial Narrow"/>
          <w:b w:val="1"/>
          <w:color w:val="000000"/>
          <w:sz w:val="32"/>
          <w:szCs w:val="32"/>
          <w:rtl w:val="0"/>
        </w:rPr>
        <w:t xml:space="preserve">MONASH HEALTHCARE INNOVATION SUMMER SCHOLARSHIPS (HISS)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280" w:before="280" w:lineRule="auto"/>
        <w:rPr>
          <w:rFonts w:ascii="Arial Narrow" w:cs="Arial Narrow" w:eastAsia="Arial Narrow" w:hAnsi="Arial Narrow"/>
          <w:color w:val="006baa"/>
          <w:sz w:val="28"/>
          <w:szCs w:val="28"/>
        </w:rPr>
      </w:pPr>
      <w:r w:rsidDel="00000000" w:rsidR="00000000" w:rsidRPr="00000000">
        <w:rPr>
          <w:rFonts w:ascii="Arial Narrow" w:cs="Arial Narrow" w:eastAsia="Arial Narrow" w:hAnsi="Arial Narrow"/>
          <w:color w:val="006baa"/>
          <w:sz w:val="28"/>
          <w:szCs w:val="28"/>
          <w:rtl w:val="0"/>
        </w:rPr>
        <w:t xml:space="preserve">PROJECT NAME: Calculus </w:t>
      </w:r>
    </w:p>
    <w:p w:rsidR="00000000" w:rsidDel="00000000" w:rsidP="00000000" w:rsidRDefault="00000000" w:rsidRPr="00000000" w14:paraId="00000004">
      <w:pPr>
        <w:spacing w:after="280" w:before="280" w:lineRule="auto"/>
        <w:rPr>
          <w:rFonts w:ascii="Arial Narrow" w:cs="Arial Narrow" w:eastAsia="Arial Narrow" w:hAnsi="Arial Narrow"/>
          <w:color w:val="006baa"/>
          <w:sz w:val="28"/>
          <w:szCs w:val="28"/>
        </w:rPr>
      </w:pPr>
      <w:r w:rsidDel="00000000" w:rsidR="00000000" w:rsidRPr="00000000">
        <w:rPr>
          <w:rFonts w:ascii="Arial Narrow" w:cs="Arial Narrow" w:eastAsia="Arial Narrow" w:hAnsi="Arial Narrow"/>
          <w:color w:val="006baa"/>
          <w:sz w:val="28"/>
          <w:szCs w:val="28"/>
          <w:rtl w:val="0"/>
        </w:rPr>
        <w:t xml:space="preserve">DELIVERABLES NUMBER: 9 (Week 10)</w:t>
      </w:r>
    </w:p>
    <w:p w:rsidR="00000000" w:rsidDel="00000000" w:rsidP="00000000" w:rsidRDefault="00000000" w:rsidRPr="00000000" w14:paraId="00000005">
      <w:pPr>
        <w:spacing w:after="280" w:before="280" w:lineRule="auto"/>
        <w:rPr>
          <w:rFonts w:ascii="Arial Narrow" w:cs="Arial Narrow" w:eastAsia="Arial Narrow" w:hAnsi="Arial Narrow"/>
          <w:b w:val="1"/>
        </w:rPr>
      </w:pPr>
      <w:r w:rsidDel="00000000" w:rsidR="00000000" w:rsidRPr="00000000">
        <w:rPr>
          <w:rFonts w:ascii="Arial Narrow" w:cs="Arial Narrow" w:eastAsia="Arial Narrow" w:hAnsi="Arial Narrow"/>
          <w:color w:val="006baa"/>
          <w:sz w:val="28"/>
          <w:szCs w:val="28"/>
          <w:rtl w:val="0"/>
        </w:rPr>
        <w:t xml:space="preserve">PROJECT MEMBER(S):  Nandini Pandya &amp; Mohairees Sri Idzhan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>
          <w:rFonts w:ascii="Arial Narrow" w:cs="Arial Narrow" w:eastAsia="Arial Narrow" w:hAnsi="Arial Narrow"/>
          <w:b w:val="1"/>
        </w:rPr>
      </w:pPr>
      <w:r w:rsidDel="00000000" w:rsidR="00000000" w:rsidRPr="00000000">
        <w:rPr>
          <w:rFonts w:ascii="Arial Narrow" w:cs="Arial Narrow" w:eastAsia="Arial Narrow" w:hAnsi="Arial Narrow"/>
          <w:b w:val="1"/>
          <w:rtl w:val="0"/>
        </w:rPr>
        <w:t xml:space="preserve">Gantt chart:</w:t>
      </w:r>
    </w:p>
    <w:p w:rsidR="00000000" w:rsidDel="00000000" w:rsidP="00000000" w:rsidRDefault="00000000" w:rsidRPr="00000000" w14:paraId="00000007">
      <w:pPr>
        <w:rPr>
          <w:rFonts w:ascii="Arial Narrow" w:cs="Arial Narrow" w:eastAsia="Arial Narrow" w:hAnsi="Arial Narrow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>
          <w:rFonts w:ascii="Arial Narrow" w:cs="Arial Narrow" w:eastAsia="Arial Narrow" w:hAnsi="Arial Narr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>
          <w:rFonts w:ascii="Arial Narrow" w:cs="Arial Narrow" w:eastAsia="Arial Narrow" w:hAnsi="Arial Narrow"/>
          <w:b w:val="1"/>
        </w:rPr>
      </w:pPr>
      <w:r w:rsidDel="00000000" w:rsidR="00000000" w:rsidRPr="00000000">
        <w:rPr>
          <w:rFonts w:ascii="Arial Narrow" w:cs="Arial Narrow" w:eastAsia="Arial Narrow" w:hAnsi="Arial Narrow"/>
          <w:b w:val="1"/>
        </w:rPr>
        <w:drawing>
          <wp:inline distB="114300" distT="114300" distL="114300" distR="114300">
            <wp:extent cx="5731200" cy="4292600"/>
            <wp:effectExtent b="0" l="0" r="0" t="0"/>
            <wp:docPr id="29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1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42926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>
          <w:rFonts w:ascii="Arial Narrow" w:cs="Arial Narrow" w:eastAsia="Arial Narrow" w:hAnsi="Arial Narrow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>
          <w:rFonts w:ascii="Arial Narrow" w:cs="Arial Narrow" w:eastAsia="Arial Narrow" w:hAnsi="Arial Narrow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>
          <w:rFonts w:ascii="Arial Narrow" w:cs="Arial Narrow" w:eastAsia="Arial Narrow" w:hAnsi="Arial Narrow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>
          <w:rFonts w:ascii="Arial Narrow" w:cs="Arial Narrow" w:eastAsia="Arial Narrow" w:hAnsi="Arial Narrow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>
          <w:rFonts w:ascii="Arial Narrow" w:cs="Arial Narrow" w:eastAsia="Arial Narrow" w:hAnsi="Arial Narrow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>
          <w:rFonts w:ascii="Arial Narrow" w:cs="Arial Narrow" w:eastAsia="Arial Narrow" w:hAnsi="Arial Narrow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>
          <w:rFonts w:ascii="Arial Narrow" w:cs="Arial Narrow" w:eastAsia="Arial Narrow" w:hAnsi="Arial Narrow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b w:val="1"/>
          <w:rtl w:val="0"/>
        </w:rPr>
        <w:t xml:space="preserve">Regulation: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>
          <w:rFonts w:ascii="Arial Narrow" w:cs="Arial Narrow" w:eastAsia="Arial Narrow" w:hAnsi="Arial Narrow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Stereotactic surgical guidance and 3D visualisation software is a part of our proposed surgical workflow. </w:t>
      </w:r>
    </w:p>
    <w:p w:rsidR="00000000" w:rsidDel="00000000" w:rsidP="00000000" w:rsidRDefault="00000000" w:rsidRPr="00000000" w14:paraId="00000014">
      <w:pPr>
        <w:rPr>
          <w:rFonts w:ascii="Arial Narrow" w:cs="Arial Narrow" w:eastAsia="Arial Narrow" w:hAnsi="Arial Narr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>
          <w:rFonts w:ascii="Arial Narrow" w:cs="Arial Narrow" w:eastAsia="Arial Narrow" w:hAnsi="Arial Narrow"/>
          <w:u w:val="single"/>
        </w:rPr>
      </w:pPr>
      <w:r w:rsidDel="00000000" w:rsidR="00000000" w:rsidRPr="00000000">
        <w:rPr>
          <w:rFonts w:ascii="Arial Narrow" w:cs="Arial Narrow" w:eastAsia="Arial Narrow" w:hAnsi="Arial Narrow"/>
          <w:u w:val="single"/>
          <w:rtl w:val="0"/>
        </w:rPr>
        <w:t xml:space="preserve">For stereotactic surgical guidance:</w:t>
      </w:r>
    </w:p>
    <w:p w:rsidR="00000000" w:rsidDel="00000000" w:rsidP="00000000" w:rsidRDefault="00000000" w:rsidRPr="00000000" w14:paraId="00000016">
      <w:pPr>
        <w:rPr>
          <w:rFonts w:ascii="Arial Narrow" w:cs="Arial Narrow" w:eastAsia="Arial Narrow" w:hAnsi="Arial Narr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TGA - Australia &amp; CE mark for EU:</w:t>
      </w:r>
    </w:p>
    <w:p w:rsidR="00000000" w:rsidDel="00000000" w:rsidP="00000000" w:rsidRDefault="00000000" w:rsidRPr="00000000" w14:paraId="00000018">
      <w:pPr>
        <w:numPr>
          <w:ilvl w:val="0"/>
          <w:numId w:val="3"/>
        </w:numPr>
        <w:ind w:left="720" w:hanging="360"/>
        <w:rPr>
          <w:rFonts w:ascii="Arial Narrow" w:cs="Arial Narrow" w:eastAsia="Arial Narrow" w:hAnsi="Arial Narrow"/>
          <w:sz w:val="22"/>
          <w:szCs w:val="22"/>
        </w:rPr>
      </w:pPr>
      <w:r w:rsidDel="00000000" w:rsidR="00000000" w:rsidRPr="00000000">
        <w:rPr>
          <w:rFonts w:ascii="Arial Narrow" w:cs="Arial Narrow" w:eastAsia="Arial Narrow" w:hAnsi="Arial Narrow"/>
          <w:sz w:val="22"/>
          <w:szCs w:val="22"/>
          <w:rtl w:val="0"/>
        </w:rPr>
        <w:t xml:space="preserve">Will be Class 1 - as a similar device (7D cranial image guidance system ARTG ID - 315227)is on market. [</w:t>
      </w:r>
      <w:hyperlink r:id="rId11">
        <w:r w:rsidDel="00000000" w:rsidR="00000000" w:rsidRPr="00000000">
          <w:rPr>
            <w:rFonts w:ascii="Arial Narrow" w:cs="Arial Narrow" w:eastAsia="Arial Narrow" w:hAnsi="Arial Narrow"/>
            <w:color w:val="1155cc"/>
            <w:sz w:val="22"/>
            <w:szCs w:val="22"/>
            <w:u w:val="single"/>
            <w:rtl w:val="0"/>
          </w:rPr>
          <w:t xml:space="preserve">TGA</w:t>
        </w:r>
      </w:hyperlink>
      <w:r w:rsidDel="00000000" w:rsidR="00000000" w:rsidRPr="00000000">
        <w:rPr>
          <w:rFonts w:ascii="Arial Narrow" w:cs="Arial Narrow" w:eastAsia="Arial Narrow" w:hAnsi="Arial Narrow"/>
          <w:sz w:val="22"/>
          <w:szCs w:val="22"/>
          <w:rtl w:val="0"/>
        </w:rPr>
        <w:t xml:space="preserve">] Will need ARTG registration for the guidance system relating to Kidney/abdomen surgeries.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numPr>
          <w:ilvl w:val="0"/>
          <w:numId w:val="3"/>
        </w:numPr>
        <w:ind w:left="720" w:hanging="360"/>
        <w:rPr>
          <w:rFonts w:ascii="Arial Narrow" w:cs="Arial Narrow" w:eastAsia="Arial Narrow" w:hAnsi="Arial Narrow"/>
          <w:sz w:val="22"/>
          <w:szCs w:val="22"/>
        </w:rPr>
      </w:pPr>
      <w:r w:rsidDel="00000000" w:rsidR="00000000" w:rsidRPr="00000000">
        <w:rPr>
          <w:rFonts w:ascii="Arial Narrow" w:cs="Arial Narrow" w:eastAsia="Arial Narrow" w:hAnsi="Arial Narrow"/>
          <w:sz w:val="22"/>
          <w:szCs w:val="22"/>
          <w:rtl w:val="0"/>
        </w:rPr>
        <w:t xml:space="preserve">Medicare codes: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numPr>
          <w:ilvl w:val="0"/>
          <w:numId w:val="4"/>
        </w:numPr>
        <w:ind w:left="1440" w:hanging="360"/>
        <w:rPr>
          <w:rFonts w:ascii="Arial Narrow" w:cs="Arial Narrow" w:eastAsia="Arial Narrow" w:hAnsi="Arial Narrow"/>
          <w:sz w:val="22"/>
          <w:szCs w:val="22"/>
        </w:rPr>
      </w:pPr>
      <w:r w:rsidDel="00000000" w:rsidR="00000000" w:rsidRPr="00000000">
        <w:rPr>
          <w:rFonts w:ascii="Arial Narrow" w:cs="Arial Narrow" w:eastAsia="Arial Narrow" w:hAnsi="Arial Narrow"/>
          <w:sz w:val="22"/>
          <w:szCs w:val="22"/>
          <w:rtl w:val="0"/>
        </w:rPr>
        <w:t xml:space="preserve">Existing medical devices code: 36543</w:t>
      </w:r>
    </w:p>
    <w:p w:rsidR="00000000" w:rsidDel="00000000" w:rsidP="00000000" w:rsidRDefault="00000000" w:rsidRPr="00000000" w14:paraId="0000001B">
      <w:pPr>
        <w:numPr>
          <w:ilvl w:val="0"/>
          <w:numId w:val="4"/>
        </w:numPr>
        <w:ind w:left="1440" w:hanging="360"/>
        <w:rPr>
          <w:rFonts w:ascii="Arial Narrow" w:cs="Arial Narrow" w:eastAsia="Arial Narrow" w:hAnsi="Arial Narrow"/>
          <w:sz w:val="22"/>
          <w:szCs w:val="22"/>
        </w:rPr>
      </w:pPr>
      <w:r w:rsidDel="00000000" w:rsidR="00000000" w:rsidRPr="00000000">
        <w:rPr>
          <w:rFonts w:ascii="Arial Narrow" w:cs="Arial Narrow" w:eastAsia="Arial Narrow" w:hAnsi="Arial Narrow"/>
          <w:sz w:val="22"/>
          <w:szCs w:val="22"/>
          <w:rtl w:val="0"/>
        </w:rPr>
        <w:t xml:space="preserve">other comparable codes: 36604, 36607, 36624, 36649, 36650</w:t>
      </w:r>
    </w:p>
    <w:p w:rsidR="00000000" w:rsidDel="00000000" w:rsidP="00000000" w:rsidRDefault="00000000" w:rsidRPr="00000000" w14:paraId="0000001C">
      <w:pPr>
        <w:ind w:left="1440" w:firstLine="0"/>
        <w:rPr>
          <w:rFonts w:ascii="Arial Narrow" w:cs="Arial Narrow" w:eastAsia="Arial Narrow" w:hAnsi="Arial Narrow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>
          <w:rFonts w:ascii="Arial Narrow" w:cs="Arial Narrow" w:eastAsia="Arial Narrow" w:hAnsi="Arial Narrow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rPr>
          <w:rFonts w:ascii="Arial Narrow" w:cs="Arial Narrow" w:eastAsia="Arial Narrow" w:hAnsi="Arial Narrow"/>
          <w:sz w:val="22"/>
          <w:szCs w:val="22"/>
        </w:rPr>
      </w:pPr>
      <w:r w:rsidDel="00000000" w:rsidR="00000000" w:rsidRPr="00000000">
        <w:rPr>
          <w:rFonts w:ascii="Arial Narrow" w:cs="Arial Narrow" w:eastAsia="Arial Narrow" w:hAnsi="Arial Narrow"/>
          <w:sz w:val="22"/>
          <w:szCs w:val="22"/>
          <w:rtl w:val="0"/>
        </w:rPr>
        <w:t xml:space="preserve">FDA for U.S: </w:t>
      </w:r>
    </w:p>
    <w:p w:rsidR="00000000" w:rsidDel="00000000" w:rsidP="00000000" w:rsidRDefault="00000000" w:rsidRPr="00000000" w14:paraId="0000001F">
      <w:pPr>
        <w:numPr>
          <w:ilvl w:val="0"/>
          <w:numId w:val="1"/>
        </w:numPr>
        <w:ind w:left="720" w:hanging="360"/>
        <w:rPr>
          <w:rFonts w:ascii="Arial Narrow" w:cs="Arial Narrow" w:eastAsia="Arial Narrow" w:hAnsi="Arial Narrow"/>
          <w:sz w:val="22"/>
          <w:szCs w:val="22"/>
          <w:u w:val="none"/>
        </w:rPr>
      </w:pPr>
      <w:r w:rsidDel="00000000" w:rsidR="00000000" w:rsidRPr="00000000">
        <w:rPr>
          <w:rFonts w:ascii="Arial Narrow" w:cs="Arial Narrow" w:eastAsia="Arial Narrow" w:hAnsi="Arial Narrow"/>
          <w:sz w:val="22"/>
          <w:szCs w:val="22"/>
          <w:rtl w:val="0"/>
        </w:rPr>
        <w:t xml:space="preserve">Classified under diagnostic device - Class 2 [</w:t>
      </w:r>
      <w:hyperlink r:id="rId12">
        <w:r w:rsidDel="00000000" w:rsidR="00000000" w:rsidRPr="00000000">
          <w:rPr>
            <w:rFonts w:ascii="Arial Narrow" w:cs="Arial Narrow" w:eastAsia="Arial Narrow" w:hAnsi="Arial Narrow"/>
            <w:color w:val="1155cc"/>
            <w:sz w:val="22"/>
            <w:szCs w:val="22"/>
            <w:u w:val="single"/>
            <w:rtl w:val="0"/>
          </w:rPr>
          <w:t xml:space="preserve">FDA</w:t>
        </w:r>
      </w:hyperlink>
      <w:r w:rsidDel="00000000" w:rsidR="00000000" w:rsidRPr="00000000">
        <w:rPr>
          <w:rFonts w:ascii="Arial Narrow" w:cs="Arial Narrow" w:eastAsia="Arial Narrow" w:hAnsi="Arial Narrow"/>
          <w:sz w:val="22"/>
          <w:szCs w:val="22"/>
          <w:rtl w:val="0"/>
        </w:rPr>
        <w:t xml:space="preserve">]</w:t>
      </w:r>
    </w:p>
    <w:p w:rsidR="00000000" w:rsidDel="00000000" w:rsidP="00000000" w:rsidRDefault="00000000" w:rsidRPr="00000000" w14:paraId="00000020">
      <w:pPr>
        <w:numPr>
          <w:ilvl w:val="0"/>
          <w:numId w:val="1"/>
        </w:numPr>
        <w:ind w:left="720" w:hanging="360"/>
        <w:rPr>
          <w:rFonts w:ascii="Arial Narrow" w:cs="Arial Narrow" w:eastAsia="Arial Narrow" w:hAnsi="Arial Narrow"/>
          <w:sz w:val="22"/>
          <w:szCs w:val="22"/>
          <w:u w:val="none"/>
        </w:rPr>
      </w:pPr>
      <w:r w:rsidDel="00000000" w:rsidR="00000000" w:rsidRPr="00000000">
        <w:rPr>
          <w:rFonts w:ascii="Arial Narrow" w:cs="Arial Narrow" w:eastAsia="Arial Narrow" w:hAnsi="Arial Narrow"/>
          <w:sz w:val="22"/>
          <w:szCs w:val="22"/>
          <w:rtl w:val="0"/>
        </w:rPr>
        <w:t xml:space="preserve">under radiology devices/ diagnostic devices </w:t>
      </w:r>
    </w:p>
    <w:p w:rsidR="00000000" w:rsidDel="00000000" w:rsidP="00000000" w:rsidRDefault="00000000" w:rsidRPr="00000000" w14:paraId="00000021">
      <w:pPr>
        <w:ind w:left="720" w:firstLine="0"/>
        <w:rPr>
          <w:rFonts w:ascii="Arial Narrow" w:cs="Arial Narrow" w:eastAsia="Arial Narrow" w:hAnsi="Arial Narrow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rPr>
          <w:rFonts w:ascii="Arial Narrow" w:cs="Arial Narrow" w:eastAsia="Arial Narrow" w:hAnsi="Arial Narrow"/>
          <w:color w:val="1155cc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rPr>
          <w:rFonts w:ascii="Arial Narrow" w:cs="Arial Narrow" w:eastAsia="Arial Narrow" w:hAnsi="Arial Narrow"/>
          <w:u w:val="single"/>
        </w:rPr>
      </w:pPr>
      <w:r w:rsidDel="00000000" w:rsidR="00000000" w:rsidRPr="00000000">
        <w:rPr>
          <w:rFonts w:ascii="Arial Narrow" w:cs="Arial Narrow" w:eastAsia="Arial Narrow" w:hAnsi="Arial Narrow"/>
          <w:u w:val="single"/>
          <w:rtl w:val="0"/>
        </w:rPr>
        <w:t xml:space="preserve">For 3D visualisation software:</w:t>
      </w:r>
    </w:p>
    <w:p w:rsidR="00000000" w:rsidDel="00000000" w:rsidP="00000000" w:rsidRDefault="00000000" w:rsidRPr="00000000" w14:paraId="00000024">
      <w:pPr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TGA - Australia &amp; </w:t>
      </w:r>
      <w:r w:rsidDel="00000000" w:rsidR="00000000" w:rsidRPr="00000000">
        <w:rPr>
          <w:rFonts w:ascii="Arial Narrow" w:cs="Arial Narrow" w:eastAsia="Arial Narrow" w:hAnsi="Arial Narrow"/>
          <w:sz w:val="22"/>
          <w:szCs w:val="22"/>
          <w:rtl w:val="0"/>
        </w:rPr>
        <w:t xml:space="preserve">CE Mark for EU: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numPr>
          <w:ilvl w:val="0"/>
          <w:numId w:val="3"/>
        </w:numPr>
        <w:ind w:left="720" w:hanging="360"/>
        <w:rPr>
          <w:rFonts w:ascii="Arial Narrow" w:cs="Arial Narrow" w:eastAsia="Arial Narrow" w:hAnsi="Arial Narrow"/>
          <w:sz w:val="22"/>
          <w:szCs w:val="22"/>
        </w:rPr>
      </w:pPr>
      <w:r w:rsidDel="00000000" w:rsidR="00000000" w:rsidRPr="00000000">
        <w:rPr>
          <w:rFonts w:ascii="Arial Narrow" w:cs="Arial Narrow" w:eastAsia="Arial Narrow" w:hAnsi="Arial Narrow"/>
          <w:sz w:val="22"/>
          <w:szCs w:val="22"/>
          <w:rtl w:val="0"/>
        </w:rPr>
        <w:t xml:space="preserve">Will be Class IIa (non-invasive devices for short-term use), will need ARTG registration. </w:t>
      </w:r>
    </w:p>
    <w:p w:rsidR="00000000" w:rsidDel="00000000" w:rsidP="00000000" w:rsidRDefault="00000000" w:rsidRPr="00000000" w14:paraId="00000026">
      <w:pPr>
        <w:rPr>
          <w:rFonts w:ascii="Arial Narrow" w:cs="Arial Narrow" w:eastAsia="Arial Narrow" w:hAnsi="Arial Narrow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rPr>
          <w:rFonts w:ascii="Arial Narrow" w:cs="Arial Narrow" w:eastAsia="Arial Narrow" w:hAnsi="Arial Narrow"/>
          <w:sz w:val="22"/>
          <w:szCs w:val="22"/>
        </w:rPr>
      </w:pPr>
      <w:r w:rsidDel="00000000" w:rsidR="00000000" w:rsidRPr="00000000">
        <w:rPr>
          <w:rFonts w:ascii="Arial Narrow" w:cs="Arial Narrow" w:eastAsia="Arial Narrow" w:hAnsi="Arial Narrow"/>
          <w:sz w:val="22"/>
          <w:szCs w:val="22"/>
          <w:rtl w:val="0"/>
        </w:rPr>
        <w:t xml:space="preserve">FDA for U.S: </w:t>
      </w:r>
    </w:p>
    <w:p w:rsidR="00000000" w:rsidDel="00000000" w:rsidP="00000000" w:rsidRDefault="00000000" w:rsidRPr="00000000" w14:paraId="00000028">
      <w:pPr>
        <w:numPr>
          <w:ilvl w:val="0"/>
          <w:numId w:val="2"/>
        </w:numPr>
        <w:ind w:left="720" w:hanging="360"/>
        <w:rPr>
          <w:rFonts w:ascii="Arial Narrow" w:cs="Arial Narrow" w:eastAsia="Arial Narrow" w:hAnsi="Arial Narrow"/>
          <w:sz w:val="22"/>
          <w:szCs w:val="22"/>
          <w:u w:val="none"/>
        </w:rPr>
      </w:pPr>
      <w:r w:rsidDel="00000000" w:rsidR="00000000" w:rsidRPr="00000000">
        <w:rPr>
          <w:rFonts w:ascii="Arial Narrow" w:cs="Arial Narrow" w:eastAsia="Arial Narrow" w:hAnsi="Arial Narrow"/>
          <w:sz w:val="22"/>
          <w:szCs w:val="22"/>
          <w:rtl w:val="0"/>
        </w:rPr>
        <w:t xml:space="preserve">Classified under diagnostic device/radiology device as it is using CT scans</w:t>
      </w:r>
    </w:p>
    <w:p w:rsidR="00000000" w:rsidDel="00000000" w:rsidP="00000000" w:rsidRDefault="00000000" w:rsidRPr="00000000" w14:paraId="00000029">
      <w:pPr>
        <w:numPr>
          <w:ilvl w:val="0"/>
          <w:numId w:val="2"/>
        </w:numPr>
        <w:ind w:left="720" w:hanging="360"/>
        <w:rPr>
          <w:rFonts w:ascii="Arial Narrow" w:cs="Arial Narrow" w:eastAsia="Arial Narrow" w:hAnsi="Arial Narrow"/>
          <w:sz w:val="22"/>
          <w:szCs w:val="22"/>
          <w:u w:val="none"/>
        </w:rPr>
      </w:pPr>
      <w:r w:rsidDel="00000000" w:rsidR="00000000" w:rsidRPr="00000000">
        <w:rPr>
          <w:rFonts w:ascii="Arial Narrow" w:cs="Arial Narrow" w:eastAsia="Arial Narrow" w:hAnsi="Arial Narrow"/>
          <w:sz w:val="22"/>
          <w:szCs w:val="22"/>
          <w:rtl w:val="0"/>
        </w:rPr>
        <w:t xml:space="preserve">Class II</w:t>
      </w:r>
    </w:p>
    <w:p w:rsidR="00000000" w:rsidDel="00000000" w:rsidP="00000000" w:rsidRDefault="00000000" w:rsidRPr="00000000" w14:paraId="0000002A">
      <w:pPr>
        <w:rPr>
          <w:rFonts w:ascii="Arial Narrow" w:cs="Arial Narrow" w:eastAsia="Arial Narrow" w:hAnsi="Arial Narr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rPr>
          <w:rFonts w:ascii="Arial Narrow" w:cs="Arial Narrow" w:eastAsia="Arial Narrow" w:hAnsi="Arial Narrow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rPr>
          <w:rFonts w:ascii="Arial Narrow" w:cs="Arial Narrow" w:eastAsia="Arial Narrow" w:hAnsi="Arial Narrow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b w:val="1"/>
          <w:rtl w:val="0"/>
        </w:rPr>
        <w:t xml:space="preserve">Risk and Hazard Analysis: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rPr>
          <w:rFonts w:ascii="Arial Narrow" w:cs="Arial Narrow" w:eastAsia="Arial Narrow" w:hAnsi="Arial Narrow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rPr>
          <w:rFonts w:ascii="Arial Narrow" w:cs="Arial Narrow" w:eastAsia="Arial Narrow" w:hAnsi="Arial Narrow"/>
          <w:b w:val="1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7785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3000"/>
        <w:gridCol w:w="1515"/>
        <w:gridCol w:w="1635"/>
        <w:gridCol w:w="1635"/>
        <w:tblGridChange w:id="0">
          <w:tblGrid>
            <w:gridCol w:w="3000"/>
            <w:gridCol w:w="1515"/>
            <w:gridCol w:w="1635"/>
            <w:gridCol w:w="1635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rtl w:val="0"/>
              </w:rPr>
              <w:t xml:space="preserve">Risk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rtl w:val="0"/>
              </w:rPr>
              <w:t xml:space="preserve">Severity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rtl w:val="0"/>
              </w:rPr>
              <w:t xml:space="preserve">Frequency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rtl w:val="0"/>
              </w:rPr>
              <w:t xml:space="preserve">Plan to solve/address vulnerabilities 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Inaccurate segmentation of kidney/kidney stones</w:t>
            </w:r>
          </w:p>
        </w:tc>
        <w:tc>
          <w:tcPr>
            <w:shd w:fill="ff00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00ff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highlight w:val="whit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highlight w:val="white"/>
                <w:rtl w:val="0"/>
              </w:rPr>
              <w:t xml:space="preserve">Train model until a sufficiently high level of accuracy and reliability is reached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Mislabelling of features</w:t>
            </w:r>
          </w:p>
        </w:tc>
        <w:tc>
          <w:tcPr>
            <w:shd w:fill="ff00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highlight w:val="whit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highlight w:val="white"/>
                <w:rtl w:val="0"/>
              </w:rPr>
              <w:t xml:space="preserve">Training set data has to be comprised of scans with features that have been accurately labelled by clinicians</w:t>
            </w:r>
          </w:p>
        </w:tc>
      </w:tr>
    </w:tbl>
    <w:p w:rsidR="00000000" w:rsidDel="00000000" w:rsidP="00000000" w:rsidRDefault="00000000" w:rsidRPr="00000000" w14:paraId="0000003C">
      <w:pPr>
        <w:rPr>
          <w:rFonts w:ascii="Arial Narrow" w:cs="Arial Narrow" w:eastAsia="Arial Narrow" w:hAnsi="Arial Narrow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rPr>
          <w:rFonts w:ascii="Arial Narrow" w:cs="Arial Narrow" w:eastAsia="Arial Narrow" w:hAnsi="Arial Narr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rPr>
          <w:rFonts w:ascii="Arial Narrow" w:cs="Arial Narrow" w:eastAsia="Arial Narrow" w:hAnsi="Arial Narr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rPr>
          <w:rFonts w:ascii="Arial Narrow" w:cs="Arial Narrow" w:eastAsia="Arial Narrow" w:hAnsi="Arial Narrow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rPr>
          <w:rFonts w:ascii="Arial Narrow" w:cs="Arial Narrow" w:eastAsia="Arial Narrow" w:hAnsi="Arial Narrow"/>
          <w:b w:val="1"/>
        </w:rPr>
      </w:pPr>
      <w:r w:rsidDel="00000000" w:rsidR="00000000" w:rsidRPr="00000000">
        <w:rPr>
          <w:rFonts w:ascii="Arial Narrow" w:cs="Arial Narrow" w:eastAsia="Arial Narrow" w:hAnsi="Arial Narrow"/>
          <w:b w:val="1"/>
          <w:rtl w:val="0"/>
        </w:rPr>
        <w:t xml:space="preserve">User Interview/testing:</w:t>
      </w:r>
    </w:p>
    <w:p w:rsidR="00000000" w:rsidDel="00000000" w:rsidP="00000000" w:rsidRDefault="00000000" w:rsidRPr="00000000" w14:paraId="00000041">
      <w:pPr>
        <w:rPr>
          <w:rFonts w:ascii="Arial Narrow" w:cs="Arial Narrow" w:eastAsia="Arial Narrow" w:hAnsi="Arial Narrow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rPr>
          <w:rFonts w:ascii="Arial Narrow" w:cs="Arial Narrow" w:eastAsia="Arial Narrow" w:hAnsi="Arial Narrow"/>
          <w:color w:val="1155cc"/>
        </w:rPr>
      </w:pPr>
      <w:r w:rsidDel="00000000" w:rsidR="00000000" w:rsidRPr="00000000">
        <w:rPr>
          <w:rFonts w:ascii="Arial Narrow" w:cs="Arial Narrow" w:eastAsia="Arial Narrow" w:hAnsi="Arial Narrow"/>
          <w:color w:val="1155cc"/>
          <w:rtl w:val="0"/>
        </w:rPr>
        <w:t xml:space="preserve">No user testing conducted apart from running the workflow and further design plans with the clinician who is the intended user. </w:t>
      </w:r>
    </w:p>
    <w:p w:rsidR="00000000" w:rsidDel="00000000" w:rsidP="00000000" w:rsidRDefault="00000000" w:rsidRPr="00000000" w14:paraId="00000043">
      <w:pPr>
        <w:rPr>
          <w:rFonts w:ascii="Arial Narrow" w:cs="Arial Narrow" w:eastAsia="Arial Narrow" w:hAnsi="Arial Narrow"/>
          <w:color w:val="1155cc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rPr>
          <w:rFonts w:ascii="Arial Narrow" w:cs="Arial Narrow" w:eastAsia="Arial Narrow" w:hAnsi="Arial Narrow"/>
          <w:b w:val="1"/>
        </w:rPr>
      </w:pPr>
      <w:r w:rsidDel="00000000" w:rsidR="00000000" w:rsidRPr="00000000">
        <w:rPr>
          <w:rFonts w:ascii="Arial Narrow" w:cs="Arial Narrow" w:eastAsia="Arial Narrow" w:hAnsi="Arial Narrow"/>
          <w:b w:val="1"/>
          <w:rtl w:val="0"/>
        </w:rPr>
        <w:t xml:space="preserve">Prototyping progress:</w:t>
      </w:r>
    </w:p>
    <w:p w:rsidR="00000000" w:rsidDel="00000000" w:rsidP="00000000" w:rsidRDefault="00000000" w:rsidRPr="00000000" w14:paraId="00000045">
      <w:pPr>
        <w:numPr>
          <w:ilvl w:val="0"/>
          <w:numId w:val="5"/>
        </w:numPr>
        <w:ind w:left="720" w:hanging="360"/>
        <w:rPr>
          <w:rFonts w:ascii="Arial Narrow" w:cs="Arial Narrow" w:eastAsia="Arial Narrow" w:hAnsi="Arial Narrow"/>
          <w:color w:val="1155cc"/>
        </w:rPr>
      </w:pPr>
      <w:r w:rsidDel="00000000" w:rsidR="00000000" w:rsidRPr="00000000">
        <w:rPr>
          <w:rFonts w:ascii="Arial Narrow" w:cs="Arial Narrow" w:eastAsia="Arial Narrow" w:hAnsi="Arial Narrow"/>
          <w:color w:val="1155cc"/>
          <w:rtl w:val="0"/>
        </w:rPr>
        <w:t xml:space="preserve">Finalised on approach to solution, which is to use image recognition/machine learning to identify kidney and kidney stones from CT scans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numPr>
          <w:ilvl w:val="0"/>
          <w:numId w:val="5"/>
        </w:numPr>
        <w:ind w:left="720" w:hanging="360"/>
        <w:rPr>
          <w:rFonts w:ascii="Arial Narrow" w:cs="Arial Narrow" w:eastAsia="Arial Narrow" w:hAnsi="Arial Narrow"/>
          <w:color w:val="1155cc"/>
        </w:rPr>
      </w:pPr>
      <w:r w:rsidDel="00000000" w:rsidR="00000000" w:rsidRPr="00000000">
        <w:rPr>
          <w:rFonts w:ascii="Arial Narrow" w:cs="Arial Narrow" w:eastAsia="Arial Narrow" w:hAnsi="Arial Narrow"/>
          <w:color w:val="1155cc"/>
          <w:rtl w:val="0"/>
        </w:rPr>
        <w:t xml:space="preserve">Assess the specificity of Nvidia AI-assisted annotation for 3D slicer is a medical image visualisation and analysis software which has a “fully automated segmentation” mode feature and its relevance to our project [</w:t>
      </w:r>
      <w:hyperlink r:id="rId13">
        <w:r w:rsidDel="00000000" w:rsidR="00000000" w:rsidRPr="00000000">
          <w:rPr>
            <w:rFonts w:ascii="Arial Narrow" w:cs="Arial Narrow" w:eastAsia="Arial Narrow" w:hAnsi="Arial Narrow"/>
            <w:color w:val="1155cc"/>
            <w:u w:val="single"/>
            <w:rtl w:val="0"/>
          </w:rPr>
          <w:t xml:space="preserve">GITHUB</w:t>
        </w:r>
      </w:hyperlink>
      <w:r w:rsidDel="00000000" w:rsidR="00000000" w:rsidRPr="00000000">
        <w:rPr>
          <w:rFonts w:ascii="Arial Narrow" w:cs="Arial Narrow" w:eastAsia="Arial Narrow" w:hAnsi="Arial Narrow"/>
          <w:color w:val="1155cc"/>
          <w:rtl w:val="0"/>
        </w:rPr>
        <w:t xml:space="preserve">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numPr>
          <w:ilvl w:val="1"/>
          <w:numId w:val="5"/>
        </w:numPr>
        <w:ind w:left="1440" w:hanging="360"/>
        <w:rPr>
          <w:rFonts w:ascii="Arial Narrow" w:cs="Arial Narrow" w:eastAsia="Arial Narrow" w:hAnsi="Arial Narrow"/>
          <w:color w:val="1155cc"/>
        </w:rPr>
      </w:pPr>
      <w:r w:rsidDel="00000000" w:rsidR="00000000" w:rsidRPr="00000000">
        <w:rPr>
          <w:rFonts w:ascii="Arial Narrow" w:cs="Arial Narrow" w:eastAsia="Arial Narrow" w:hAnsi="Arial Narrow"/>
          <w:color w:val="1155cc"/>
          <w:rtl w:val="0"/>
        </w:rPr>
        <w:t xml:space="preserve">This feature has pre-trained models and the computer running 3D slicer does not need to have any special requirements apart from fast network upload speed.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ind w:left="720" w:firstLine="0"/>
        <w:rPr>
          <w:rFonts w:ascii="Arial Narrow" w:cs="Arial Narrow" w:eastAsia="Arial Narrow" w:hAnsi="Arial Narrow"/>
          <w:color w:val="1155cc"/>
        </w:rPr>
      </w:pPr>
      <w:r w:rsidDel="00000000" w:rsidR="00000000" w:rsidRPr="00000000">
        <w:rPr>
          <w:rtl w:val="0"/>
        </w:rPr>
      </w:r>
    </w:p>
    <w:sectPr>
      <w:pgSz w:h="16840" w:w="11900" w:orient="portrait"/>
      <w:pgMar w:bottom="1440" w:top="144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Times New Roman"/>
  <w:font w:name="Arial Narrow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200" w:hanging="360"/>
      </w:pPr>
      <w:rPr>
        <w:u w:val="none"/>
      </w:rPr>
    </w:lvl>
  </w:abstractNum>
  <w:abstractNum w:abstractNumId="5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4"/>
        <w:szCs w:val="24"/>
        <w:lang w:val="en-AU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</w:style>
  <w:style w:type="paragraph" w:styleId="Heading1">
    <w:name w:val="heading 1"/>
    <w:basedOn w:val="Normal"/>
    <w:next w:val="Normal"/>
    <w:uiPriority w:val="9"/>
    <w:qFormat w:val="1"/>
    <w:pPr>
      <w:keepNext w:val="1"/>
      <w:keepLines w:val="1"/>
      <w:spacing w:after="120" w:before="480"/>
      <w:outlineLvl w:val="0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80" w:before="360"/>
      <w:outlineLvl w:val="1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80" w:before="280"/>
      <w:outlineLvl w:val="2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40" w:before="240"/>
      <w:outlineLvl w:val="3"/>
    </w:pPr>
    <w:rPr>
      <w:b w:val="1"/>
    </w:rPr>
  </w:style>
  <w:style w:type="paragraph" w:styleId="Heading5">
    <w:name w:val="heading 5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40" w:before="220"/>
      <w:outlineLvl w:val="4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40" w:before="200"/>
      <w:outlineLvl w:val="5"/>
    </w:pPr>
    <w:rPr>
      <w:b w:val="1"/>
      <w:sz w:val="20"/>
      <w:szCs w:val="20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Title">
    <w:name w:val="Title"/>
    <w:basedOn w:val="Normal"/>
    <w:next w:val="Normal"/>
    <w:uiPriority w:val="10"/>
    <w:qFormat w:val="1"/>
    <w:pPr>
      <w:keepNext w:val="1"/>
      <w:keepLines w:val="1"/>
      <w:spacing w:after="120" w:before="480"/>
    </w:pPr>
    <w:rPr>
      <w:b w:val="1"/>
      <w:sz w:val="72"/>
      <w:szCs w:val="72"/>
    </w:rPr>
  </w:style>
  <w:style w:type="table" w:styleId="TableGrid">
    <w:name w:val="Table Grid"/>
    <w:basedOn w:val="TableNormal"/>
    <w:uiPriority w:val="39"/>
    <w:rsid w:val="008312E1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NormalWeb">
    <w:name w:val="Normal (Web)"/>
    <w:basedOn w:val="Normal"/>
    <w:uiPriority w:val="99"/>
    <w:semiHidden w:val="1"/>
    <w:unhideWhenUsed w:val="1"/>
    <w:rsid w:val="00070C8E"/>
    <w:pPr>
      <w:spacing w:after="100" w:afterAutospacing="1" w:before="100" w:beforeAutospacing="1"/>
    </w:pPr>
    <w:rPr>
      <w:rFonts w:ascii="Times New Roman" w:cs="Times New Roman" w:eastAsia="Times New Roman" w:hAnsi="Times New Roman"/>
    </w:rPr>
  </w:style>
  <w:style w:type="paragraph" w:styleId="Subtitle">
    <w:name w:val="Subtitle"/>
    <w:basedOn w:val="Normal"/>
    <w:next w:val="Normal"/>
    <w:uiPriority w:val="11"/>
    <w:qFormat w:val="1"/>
    <w:pPr>
      <w:keepNext w:val="1"/>
      <w:keepLines w:val="1"/>
      <w:spacing w:after="80" w:before="360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a" w:customStyle="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yperlink" Target="https://www.tga.gov.au/resources/artg/315227" TargetMode="External"/><Relationship Id="rId10" Type="http://schemas.openxmlformats.org/officeDocument/2006/relationships/image" Target="media/image1.png"/><Relationship Id="rId13" Type="http://schemas.openxmlformats.org/officeDocument/2006/relationships/hyperlink" Target="https://github.com/NVIDIA/ai-assisted-annotation-client/blob/master/slicer-plugin/README.md" TargetMode="External"/><Relationship Id="rId12" Type="http://schemas.openxmlformats.org/officeDocument/2006/relationships/hyperlink" Target="https://www.accessdata.fda.gov/scripts/cdrh/cfdocs/cfcfr/CFRSearch.cfm?fr=892.1750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4.jpg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2.png"/><Relationship Id="rId8" Type="http://schemas.openxmlformats.org/officeDocument/2006/relationships/image" Target="media/image3.jp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ArialNarrow-regular.ttf"/><Relationship Id="rId2" Type="http://schemas.openxmlformats.org/officeDocument/2006/relationships/font" Target="fonts/ArialNarrow-bold.ttf"/><Relationship Id="rId3" Type="http://schemas.openxmlformats.org/officeDocument/2006/relationships/font" Target="fonts/ArialNarrow-italic.ttf"/><Relationship Id="rId4" Type="http://schemas.openxmlformats.org/officeDocument/2006/relationships/font" Target="fonts/ArialNarrow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i8u5lbEYLR7Hbzrn1JndhuJz0qCg==">AMUW2mVA8YAlTRullUdUX6y+j4Ghv+2FAlEYQR4z+iOkfmPhcKVsoYcEpcMuMgkWHWW0kWuahgitEWOrbzrDZbyMmIS5SrgvlofARlASEAZZR1zCzE6zcKE=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2021-11-21T12:10:00Z</dcterms:created>
  <dc:creator>Kim Dao</dc:creator>
</cp:coreProperties>
</file>